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ADDIN CNKISM.UserStyle</w:instrText>
      </w:r>
      <w:r>
        <w:rPr>
          <w:rFonts w:hint="eastAsia" w:ascii="黑体" w:hAnsi="黑体" w:eastAsia="黑体" w:cs="黑体"/>
          <w:sz w:val="32"/>
          <w:szCs w:val="32"/>
        </w:rPr>
        <w:fldChar w:fldCharType="end"/>
      </w:r>
      <w:r>
        <w:rPr>
          <w:rFonts w:hint="eastAsia" w:ascii="黑体" w:hAnsi="黑体" w:eastAsia="黑体" w:cs="黑体"/>
          <w:sz w:val="32"/>
          <w:szCs w:val="32"/>
        </w:rPr>
        <w:t>附件2</w:t>
      </w:r>
    </w:p>
    <w:p>
      <w:pPr>
        <w:spacing w:before="312" w:beforeLines="100" w:after="312" w:afterLines="100" w:line="640" w:lineRule="exact"/>
        <w:jc w:val="center"/>
        <w:rPr>
          <w:rFonts w:eastAsia="方正小标宋简体"/>
          <w:sz w:val="44"/>
          <w:szCs w:val="44"/>
        </w:rPr>
      </w:pPr>
      <w:r>
        <w:rPr>
          <w:rFonts w:eastAsia="方正小标宋简体"/>
          <w:sz w:val="44"/>
          <w:szCs w:val="44"/>
        </w:rPr>
        <w:t>品种非处方药说明书范本</w:t>
      </w:r>
    </w:p>
    <w:p>
      <w:pPr>
        <w:rPr>
          <w:rFonts w:eastAsia="黑体"/>
          <w:sz w:val="32"/>
          <w:szCs w:val="32"/>
        </w:rPr>
      </w:pPr>
      <w:r>
        <w:rPr>
          <w:rFonts w:eastAsia="黑体"/>
          <w:sz w:val="32"/>
          <w:szCs w:val="32"/>
        </w:rPr>
        <w:t>一、地氯雷他定分散片</w:t>
      </w:r>
    </w:p>
    <w:p>
      <w:pPr>
        <w:pStyle w:val="2"/>
        <w:spacing w:line="408" w:lineRule="auto"/>
        <w:jc w:val="center"/>
        <w:rPr>
          <w:rFonts w:ascii="Times New Roman" w:hAnsi="Times New Roman"/>
          <w:bCs w:val="0"/>
          <w:sz w:val="30"/>
          <w:szCs w:val="20"/>
        </w:rPr>
      </w:pPr>
      <w:r>
        <w:rPr>
          <w:rFonts w:ascii="Times New Roman" w:hAnsi="Times New Roman"/>
          <w:bCs w:val="0"/>
          <w:sz w:val="30"/>
          <w:szCs w:val="20"/>
        </w:rPr>
        <w:t>地氯雷他定分散片说明书</w:t>
      </w:r>
    </w:p>
    <w:p>
      <w:pPr>
        <w:spacing w:line="280" w:lineRule="exact"/>
        <w:jc w:val="center"/>
        <w:rPr>
          <w:rFonts w:eastAsia="黑体"/>
          <w:b/>
        </w:rPr>
      </w:pPr>
      <w:r>
        <w:rPr>
          <w:rFonts w:eastAsia="黑体"/>
          <w:b/>
        </w:rPr>
        <w:t>请仔细阅读说明书并按说明使用或在药师指导下购买和使用</w:t>
      </w:r>
    </w:p>
    <w:p>
      <w:pPr>
        <w:rPr>
          <w:szCs w:val="21"/>
        </w:rPr>
      </w:pPr>
      <w:r>
        <w:rPr>
          <w:szCs w:val="21"/>
        </w:rPr>
        <w:t>[药品名称]</w:t>
      </w:r>
    </w:p>
    <w:p>
      <w:pPr>
        <w:rPr>
          <w:szCs w:val="21"/>
        </w:rPr>
      </w:pPr>
      <w:r>
        <w:rPr>
          <w:szCs w:val="21"/>
        </w:rPr>
        <w:t>通用名称：地氯雷他定分散片</w:t>
      </w:r>
    </w:p>
    <w:p>
      <w:pPr>
        <w:rPr>
          <w:szCs w:val="21"/>
        </w:rPr>
      </w:pPr>
      <w:r>
        <w:rPr>
          <w:szCs w:val="18"/>
        </w:rPr>
        <w:t>商品名称：</w:t>
      </w:r>
    </w:p>
    <w:p>
      <w:pPr>
        <w:rPr>
          <w:szCs w:val="21"/>
        </w:rPr>
      </w:pPr>
      <w:r>
        <w:rPr>
          <w:szCs w:val="21"/>
        </w:rPr>
        <w:t>英文名称：</w:t>
      </w:r>
    </w:p>
    <w:p>
      <w:pPr>
        <w:rPr>
          <w:szCs w:val="21"/>
        </w:rPr>
      </w:pPr>
      <w:r>
        <w:rPr>
          <w:szCs w:val="21"/>
        </w:rPr>
        <w:t>汉语拼音：</w:t>
      </w:r>
    </w:p>
    <w:p>
      <w:pPr>
        <w:rPr>
          <w:szCs w:val="21"/>
        </w:rPr>
      </w:pPr>
      <w:r>
        <w:rPr>
          <w:szCs w:val="21"/>
        </w:rPr>
        <w:t>[成份]</w:t>
      </w:r>
    </w:p>
    <w:p>
      <w:pPr>
        <w:rPr>
          <w:szCs w:val="21"/>
        </w:rPr>
      </w:pPr>
      <w:r>
        <w:rPr>
          <w:szCs w:val="21"/>
        </w:rPr>
        <w:t>[性状]</w:t>
      </w:r>
    </w:p>
    <w:p>
      <w:pPr>
        <w:rPr>
          <w:szCs w:val="21"/>
        </w:rPr>
      </w:pPr>
      <w:r>
        <w:rPr>
          <w:szCs w:val="21"/>
        </w:rPr>
        <w:t xml:space="preserve">[作用类别] </w:t>
      </w:r>
      <w:r>
        <w:rPr>
          <w:kern w:val="0"/>
          <w:szCs w:val="21"/>
        </w:rPr>
        <w:t>本品为耳鼻喉科及皮肤科用药类非处方药药品。</w:t>
      </w:r>
    </w:p>
    <w:p>
      <w:pPr>
        <w:rPr>
          <w:szCs w:val="21"/>
        </w:rPr>
      </w:pPr>
      <w:r>
        <w:rPr>
          <w:szCs w:val="21"/>
        </w:rPr>
        <w:t>[适应症] 本品用于快速缓解过敏性鼻炎的相关症状，如打喷嚏，流涕和鼻痒、鼻粘膜充血/鼻塞；以及眼痒、流泪和充血；腭痒及咳嗽。本品还用于缓解慢性特发性荨麻疹的相关症状如瘙痒，并可减少荨麻疹的数量及大小。</w:t>
      </w:r>
    </w:p>
    <w:p>
      <w:pPr>
        <w:rPr>
          <w:szCs w:val="21"/>
        </w:rPr>
      </w:pPr>
      <w:r>
        <w:rPr>
          <w:szCs w:val="21"/>
        </w:rPr>
        <w:t>[规格] 5毫克。</w:t>
      </w:r>
    </w:p>
    <w:p>
      <w:pPr>
        <w:rPr>
          <w:szCs w:val="21"/>
        </w:rPr>
      </w:pPr>
      <w:r>
        <w:rPr>
          <w:szCs w:val="21"/>
        </w:rPr>
        <w:t>[用法用量] 本品为分散片，使用时将其加入适量水中，搅拌均匀分散后服用，也可直接用水送服。成人及大于12岁的青少年每日1次，每次1片。</w:t>
      </w:r>
    </w:p>
    <w:p>
      <w:pPr>
        <w:rPr>
          <w:szCs w:val="21"/>
        </w:rPr>
      </w:pPr>
      <w:r>
        <w:rPr>
          <w:szCs w:val="21"/>
        </w:rPr>
        <w:t xml:space="preserve">[不良反应] </w:t>
      </w:r>
    </w:p>
    <w:p>
      <w:pPr>
        <w:spacing w:line="360" w:lineRule="exact"/>
        <w:rPr>
          <w:szCs w:val="21"/>
        </w:rPr>
      </w:pPr>
      <w:r>
        <w:rPr>
          <w:szCs w:val="21"/>
        </w:rPr>
        <w:t>1.常见疲倦、口干和头痛。</w:t>
      </w:r>
    </w:p>
    <w:p>
      <w:pPr>
        <w:spacing w:line="360" w:lineRule="exact"/>
        <w:rPr>
          <w:szCs w:val="21"/>
        </w:rPr>
      </w:pPr>
      <w:r>
        <w:rPr>
          <w:szCs w:val="21"/>
        </w:rPr>
        <w:t>2.十分罕见或发生率未知（无法估计）的不良反应包括：食欲增加、幻觉、行为异常、攻击性、头晕、嗜睡、失眠、精神运动功能亢进、癫痫、心动过速、心悸、心电图QT间期延长、腹痛、恶心、呕吐、消化不良、腹泻、肝酶升高、胆红素升高、肝炎、黄疸、光敏感、肌痛、超敏反应（如过敏症、血管性水肿、呼吸困难、瘙痒症、皮疹和荨麻疹）、体重增加。出现这些不良反应时应停药并就医。</w:t>
      </w:r>
    </w:p>
    <w:p>
      <w:pPr>
        <w:spacing w:line="360" w:lineRule="exact"/>
        <w:rPr>
          <w:szCs w:val="21"/>
        </w:rPr>
      </w:pPr>
      <w:r>
        <w:rPr>
          <w:szCs w:val="21"/>
        </w:rPr>
        <w:t>3.上市后在儿科患者中报告的不良反应有心电图QT间期延长、心律失常、心动过缓、行为异常和攻击性，发生率未知。出现这些不良反应时应停药并就医。</w:t>
      </w:r>
    </w:p>
    <w:p>
      <w:pPr>
        <w:rPr>
          <w:szCs w:val="21"/>
        </w:rPr>
      </w:pPr>
      <w:r>
        <w:rPr>
          <w:szCs w:val="21"/>
        </w:rPr>
        <w:t>[禁忌]</w:t>
      </w:r>
    </w:p>
    <w:p>
      <w:pPr>
        <w:rPr>
          <w:szCs w:val="21"/>
        </w:rPr>
      </w:pPr>
      <w:r>
        <w:rPr>
          <w:szCs w:val="21"/>
        </w:rPr>
        <w:t>对本品活性成份或辅料以及氯雷他定过敏者禁用。</w:t>
      </w:r>
    </w:p>
    <w:p>
      <w:pPr>
        <w:rPr>
          <w:szCs w:val="21"/>
        </w:rPr>
      </w:pPr>
      <w:r>
        <w:rPr>
          <w:szCs w:val="21"/>
        </w:rPr>
        <w:t>[注意事项]</w:t>
      </w:r>
    </w:p>
    <w:p>
      <w:pPr>
        <w:rPr>
          <w:szCs w:val="21"/>
        </w:rPr>
      </w:pPr>
      <w:r>
        <w:rPr>
          <w:szCs w:val="21"/>
        </w:rPr>
        <w:t>1.具有癫痫病史或家族史的患者慎用；如患者在治疗时癫痫发作，应立即就医。</w:t>
      </w:r>
    </w:p>
    <w:p>
      <w:pPr>
        <w:rPr>
          <w:szCs w:val="21"/>
        </w:rPr>
      </w:pPr>
      <w:r>
        <w:rPr>
          <w:szCs w:val="21"/>
        </w:rPr>
        <w:t>2.心脏疾病患者应在医师指导下使用，用药期间出现任何心脏不适，应立即停药并就医。</w:t>
      </w:r>
    </w:p>
    <w:p>
      <w:pPr>
        <w:rPr>
          <w:szCs w:val="21"/>
        </w:rPr>
      </w:pPr>
      <w:r>
        <w:rPr>
          <w:szCs w:val="21"/>
        </w:rPr>
        <w:t>3.极少数患者服用本品会出现困倦，可能影响其驾驶和使用机械的能力。</w:t>
      </w:r>
    </w:p>
    <w:p>
      <w:pPr>
        <w:rPr>
          <w:szCs w:val="21"/>
        </w:rPr>
      </w:pPr>
      <w:r>
        <w:rPr>
          <w:szCs w:val="21"/>
        </w:rPr>
        <w:t>4.除非经医师权衡利弊并开具处方，否则孕妇不应使用本品。不建议哺乳期女性使用本品。</w:t>
      </w:r>
    </w:p>
    <w:p>
      <w:pPr>
        <w:rPr>
          <w:szCs w:val="21"/>
        </w:rPr>
      </w:pPr>
      <w:r>
        <w:rPr>
          <w:szCs w:val="21"/>
        </w:rPr>
        <w:t>5.肝或肾功能不全患者应在医师指导下使用，严重肝或肾功能不全患者慎用。</w:t>
      </w:r>
    </w:p>
    <w:p>
      <w:pPr>
        <w:rPr>
          <w:szCs w:val="21"/>
        </w:rPr>
      </w:pPr>
      <w:r>
        <w:rPr>
          <w:szCs w:val="21"/>
        </w:rPr>
        <w:t>6.老年患者应在医师指导下使用。</w:t>
      </w:r>
    </w:p>
    <w:p>
      <w:pPr>
        <w:rPr>
          <w:szCs w:val="21"/>
        </w:rPr>
      </w:pPr>
      <w:r>
        <w:rPr>
          <w:szCs w:val="21"/>
        </w:rPr>
        <w:t>7.如服用过量或出现严重不良反应，应立即就医。</w:t>
      </w:r>
    </w:p>
    <w:p>
      <w:pPr>
        <w:rPr>
          <w:szCs w:val="21"/>
        </w:rPr>
      </w:pPr>
      <w:r>
        <w:rPr>
          <w:szCs w:val="21"/>
        </w:rPr>
        <w:t>8.对本品过敏者禁用，过敏体质者慎用。</w:t>
      </w:r>
    </w:p>
    <w:p>
      <w:pPr>
        <w:rPr>
          <w:szCs w:val="21"/>
        </w:rPr>
      </w:pPr>
      <w:r>
        <w:rPr>
          <w:szCs w:val="21"/>
        </w:rPr>
        <w:t>9.本品性状发生改变时禁止使用。</w:t>
      </w:r>
    </w:p>
    <w:p>
      <w:pPr>
        <w:rPr>
          <w:szCs w:val="21"/>
        </w:rPr>
      </w:pPr>
      <w:r>
        <w:rPr>
          <w:szCs w:val="21"/>
        </w:rPr>
        <w:t>10.请将本品放在儿童不能接触的地方。</w:t>
      </w:r>
    </w:p>
    <w:p>
      <w:pPr>
        <w:rPr>
          <w:szCs w:val="21"/>
        </w:rPr>
      </w:pPr>
      <w:r>
        <w:rPr>
          <w:szCs w:val="21"/>
        </w:rPr>
        <w:t>11.儿童必须在成人监护下使用。</w:t>
      </w:r>
    </w:p>
    <w:p>
      <w:pPr>
        <w:rPr>
          <w:szCs w:val="21"/>
        </w:rPr>
      </w:pPr>
      <w:r>
        <w:rPr>
          <w:szCs w:val="21"/>
        </w:rPr>
        <w:t>12.如正在使用其他药品，使用本品前请咨询医师或药师。</w:t>
      </w:r>
    </w:p>
    <w:p>
      <w:pPr>
        <w:rPr>
          <w:szCs w:val="21"/>
        </w:rPr>
      </w:pPr>
      <w:r>
        <w:rPr>
          <w:szCs w:val="21"/>
        </w:rPr>
        <w:t xml:space="preserve">[药物相互作用] </w:t>
      </w:r>
    </w:p>
    <w:p>
      <w:pPr>
        <w:rPr>
          <w:szCs w:val="21"/>
        </w:rPr>
      </w:pPr>
      <w:r>
        <w:rPr>
          <w:szCs w:val="21"/>
        </w:rPr>
        <w:t>1.临床试验中未发现地氯雷他定存在有临床相关意义的相互作用。地氯雷他定在与酮康唑、红霉素、阿奇霉素、氟西汀和西咪替丁的多剂量药物相互作用试验中，血浆浓度未出现有临床相关意义的改变。然而，地氯雷他定的代谢酶尚未确定，因此与其他药物的相互作用尚不能完全排除。</w:t>
      </w:r>
    </w:p>
    <w:p>
      <w:pPr>
        <w:rPr>
          <w:szCs w:val="21"/>
        </w:rPr>
      </w:pPr>
      <w:r>
        <w:rPr>
          <w:szCs w:val="21"/>
        </w:rPr>
        <w:t>2.进食或饮用葡萄柚汁对地氯雷他定的分布和消除无影响。</w:t>
      </w:r>
    </w:p>
    <w:p>
      <w:pPr>
        <w:rPr>
          <w:szCs w:val="21"/>
        </w:rPr>
      </w:pPr>
      <w:r>
        <w:rPr>
          <w:szCs w:val="21"/>
        </w:rPr>
        <w:t>3.在上市后使用报告中，曾报告过酒精不耐受和酒精中毒病例。因此，如果饮酒，建议慎用本品。</w:t>
      </w:r>
    </w:p>
    <w:p>
      <w:pPr>
        <w:rPr>
          <w:szCs w:val="21"/>
        </w:rPr>
      </w:pPr>
      <w:r>
        <w:rPr>
          <w:szCs w:val="21"/>
        </w:rPr>
        <w:t xml:space="preserve">4.如与其他药物同时使用可能会发生药物相互作用，详情请咨询医师或药师。 </w:t>
      </w:r>
    </w:p>
    <w:p>
      <w:pPr>
        <w:rPr>
          <w:szCs w:val="21"/>
        </w:rPr>
      </w:pPr>
      <w:r>
        <w:rPr>
          <w:szCs w:val="21"/>
        </w:rPr>
        <w:t>[药理作用]本品是一种非镇静性的长效组胺拮抗药，不易透过中枢神经系统，可选择性地阻断外周组胺H</w:t>
      </w:r>
      <w:r>
        <w:rPr>
          <w:szCs w:val="21"/>
          <w:vertAlign w:val="subscript"/>
        </w:rPr>
        <w:t>1</w:t>
      </w:r>
      <w:r>
        <w:rPr>
          <w:szCs w:val="21"/>
        </w:rPr>
        <w:t>受体，从而有效缓解过敏性鼻炎和慢性特发性荨麻疹的症状。</w:t>
      </w:r>
    </w:p>
    <w:p>
      <w:pPr>
        <w:rPr>
          <w:szCs w:val="21"/>
        </w:rPr>
      </w:pPr>
      <w:r>
        <w:rPr>
          <w:szCs w:val="21"/>
        </w:rPr>
        <w:t xml:space="preserve">[贮藏] </w:t>
      </w:r>
      <w:r>
        <w:rPr>
          <w:szCs w:val="21"/>
        </w:rPr>
        <w:br w:type="textWrapping"/>
      </w:r>
      <w:r>
        <w:rPr>
          <w:szCs w:val="21"/>
        </w:rPr>
        <w:t>[包装]</w:t>
      </w:r>
      <w:r>
        <w:rPr>
          <w:szCs w:val="21"/>
        </w:rPr>
        <w:br w:type="textWrapping"/>
      </w:r>
      <w:r>
        <w:rPr>
          <w:szCs w:val="21"/>
        </w:rPr>
        <w:t>[有效期]</w:t>
      </w:r>
      <w:r>
        <w:rPr>
          <w:szCs w:val="21"/>
        </w:rPr>
        <w:br w:type="textWrapping"/>
      </w:r>
      <w:r>
        <w:rPr>
          <w:szCs w:val="21"/>
        </w:rPr>
        <w:t>[执行标准]</w:t>
      </w:r>
      <w:r>
        <w:rPr>
          <w:szCs w:val="21"/>
        </w:rPr>
        <w:br w:type="textWrapping"/>
      </w:r>
      <w:r>
        <w:rPr>
          <w:szCs w:val="21"/>
        </w:rPr>
        <w:t>[批准文号]</w:t>
      </w:r>
      <w:r>
        <w:rPr>
          <w:szCs w:val="21"/>
        </w:rPr>
        <w:br w:type="textWrapping"/>
      </w:r>
      <w:r>
        <w:rPr>
          <w:szCs w:val="21"/>
        </w:rPr>
        <w:t>[说明书修订日期]</w:t>
      </w:r>
      <w:r>
        <w:rPr>
          <w:szCs w:val="21"/>
        </w:rPr>
        <w:br w:type="textWrapping"/>
      </w:r>
      <w:r>
        <w:rPr>
          <w:szCs w:val="21"/>
        </w:rPr>
        <w:t>[药品上市许可持有人]</w:t>
      </w:r>
    </w:p>
    <w:p>
      <w:pPr>
        <w:rPr>
          <w:szCs w:val="21"/>
        </w:rPr>
      </w:pPr>
      <w:r>
        <w:rPr>
          <w:szCs w:val="21"/>
        </w:rPr>
        <w:t xml:space="preserve">名   称： </w:t>
      </w:r>
      <w:r>
        <w:rPr>
          <w:szCs w:val="21"/>
        </w:rPr>
        <w:br w:type="textWrapping"/>
      </w:r>
      <w:r>
        <w:rPr>
          <w:szCs w:val="21"/>
        </w:rPr>
        <w:t>注册地址：</w:t>
      </w:r>
      <w:r>
        <w:rPr>
          <w:szCs w:val="21"/>
        </w:rPr>
        <w:br w:type="textWrapping"/>
      </w:r>
      <w:r>
        <w:rPr>
          <w:szCs w:val="21"/>
        </w:rPr>
        <w:t>邮政编码：</w:t>
      </w:r>
      <w:r>
        <w:rPr>
          <w:szCs w:val="21"/>
        </w:rPr>
        <w:br w:type="textWrapping"/>
      </w:r>
      <w:r>
        <w:rPr>
          <w:szCs w:val="21"/>
        </w:rPr>
        <w:t>电话号码：</w:t>
      </w:r>
      <w:r>
        <w:rPr>
          <w:szCs w:val="21"/>
        </w:rPr>
        <w:br w:type="textWrapping"/>
      </w:r>
      <w:r>
        <w:rPr>
          <w:szCs w:val="21"/>
        </w:rPr>
        <w:t>传真号码：</w:t>
      </w:r>
      <w:r>
        <w:rPr>
          <w:szCs w:val="21"/>
        </w:rPr>
        <w:br w:type="textWrapping"/>
      </w:r>
      <w:r>
        <w:rPr>
          <w:szCs w:val="21"/>
        </w:rPr>
        <w:t>网 址：</w:t>
      </w:r>
      <w:r>
        <w:rPr>
          <w:szCs w:val="21"/>
        </w:rPr>
        <w:br w:type="textWrapping"/>
      </w:r>
      <w:r>
        <w:rPr>
          <w:szCs w:val="21"/>
        </w:rPr>
        <w:t>[生产企业]</w:t>
      </w:r>
      <w:r>
        <w:rPr>
          <w:szCs w:val="21"/>
        </w:rPr>
        <w:br w:type="textWrapping"/>
      </w:r>
      <w:r>
        <w:rPr>
          <w:szCs w:val="21"/>
        </w:rPr>
        <w:t xml:space="preserve">企业名称： </w:t>
      </w:r>
      <w:r>
        <w:rPr>
          <w:szCs w:val="21"/>
        </w:rPr>
        <w:br w:type="textWrapping"/>
      </w:r>
      <w:r>
        <w:rPr>
          <w:szCs w:val="21"/>
        </w:rPr>
        <w:t>生产地址：</w:t>
      </w:r>
      <w:r>
        <w:rPr>
          <w:szCs w:val="21"/>
        </w:rPr>
        <w:br w:type="textWrapping"/>
      </w:r>
      <w:r>
        <w:rPr>
          <w:szCs w:val="21"/>
        </w:rPr>
        <w:t>如有问题可与药品上市许可持有人联系。</w:t>
      </w:r>
    </w:p>
    <w:p>
      <w:pPr>
        <w:spacing w:line="360" w:lineRule="auto"/>
        <w:ind w:firstLine="420" w:firstLineChars="200"/>
        <w:rPr>
          <w:rFonts w:eastAsia="仿宋"/>
          <w:b/>
          <w:sz w:val="28"/>
          <w:szCs w:val="28"/>
        </w:rPr>
      </w:pPr>
      <w:r>
        <w:t>（注：本说明书范本原则上不得删减，如原批准说明书的安全性内容较本范本内容更全面或更严格的，应保留原批准内容。）</w:t>
      </w:r>
    </w:p>
    <w:p>
      <w:pPr>
        <w:widowControl/>
        <w:jc w:val="left"/>
        <w:rPr>
          <w:rFonts w:eastAsia="黑体"/>
          <w:sz w:val="32"/>
          <w:szCs w:val="32"/>
        </w:rPr>
      </w:pPr>
      <w:r>
        <w:rPr>
          <w:bCs/>
        </w:rPr>
        <w:br w:type="page"/>
      </w:r>
      <w:r>
        <w:rPr>
          <w:rFonts w:eastAsia="黑体"/>
          <w:bCs/>
          <w:sz w:val="32"/>
          <w:szCs w:val="32"/>
        </w:rPr>
        <w:t>二、</w:t>
      </w:r>
      <w:r>
        <w:rPr>
          <w:rFonts w:eastAsia="黑体"/>
          <w:sz w:val="32"/>
          <w:szCs w:val="32"/>
        </w:rPr>
        <w:t>氯雷他定颗粒</w:t>
      </w:r>
    </w:p>
    <w:p>
      <w:pPr>
        <w:pStyle w:val="2"/>
        <w:jc w:val="center"/>
        <w:rPr>
          <w:rFonts w:ascii="Times New Roman" w:hAnsi="Times New Roman"/>
          <w:bCs w:val="0"/>
          <w:sz w:val="30"/>
          <w:szCs w:val="20"/>
        </w:rPr>
      </w:pPr>
      <w:r>
        <w:rPr>
          <w:rFonts w:ascii="Times New Roman" w:hAnsi="Times New Roman"/>
          <w:bCs w:val="0"/>
          <w:sz w:val="30"/>
          <w:szCs w:val="20"/>
        </w:rPr>
        <w:t>氯雷他定颗粒说明书</w:t>
      </w:r>
    </w:p>
    <w:p>
      <w:pPr>
        <w:spacing w:line="280" w:lineRule="exact"/>
        <w:jc w:val="center"/>
        <w:rPr>
          <w:rFonts w:eastAsia="黑体"/>
          <w:b/>
        </w:rPr>
      </w:pPr>
      <w:r>
        <w:rPr>
          <w:rFonts w:eastAsia="黑体"/>
          <w:b/>
        </w:rPr>
        <w:t>请仔细阅读说明书并按说明使用或在药师指导下购买和使用</w:t>
      </w:r>
    </w:p>
    <w:p>
      <w:pPr>
        <w:rPr>
          <w:szCs w:val="21"/>
        </w:rPr>
      </w:pPr>
      <w:r>
        <w:rPr>
          <w:szCs w:val="21"/>
        </w:rPr>
        <w:t>[药品名称]</w:t>
      </w:r>
    </w:p>
    <w:p>
      <w:pPr>
        <w:rPr>
          <w:szCs w:val="21"/>
        </w:rPr>
      </w:pPr>
      <w:r>
        <w:rPr>
          <w:szCs w:val="21"/>
        </w:rPr>
        <w:t>通用名称：氯雷他定颗粒</w:t>
      </w:r>
    </w:p>
    <w:p>
      <w:pPr>
        <w:rPr>
          <w:szCs w:val="21"/>
        </w:rPr>
      </w:pPr>
      <w:r>
        <w:rPr>
          <w:szCs w:val="18"/>
        </w:rPr>
        <w:t>商品名称：</w:t>
      </w:r>
    </w:p>
    <w:p>
      <w:pPr>
        <w:rPr>
          <w:szCs w:val="21"/>
        </w:rPr>
      </w:pPr>
      <w:r>
        <w:rPr>
          <w:szCs w:val="21"/>
        </w:rPr>
        <w:t>英文名称：</w:t>
      </w:r>
    </w:p>
    <w:p>
      <w:pPr>
        <w:rPr>
          <w:szCs w:val="21"/>
        </w:rPr>
      </w:pPr>
      <w:r>
        <w:rPr>
          <w:szCs w:val="21"/>
        </w:rPr>
        <w:t>汉语拼音：</w:t>
      </w:r>
    </w:p>
    <w:p>
      <w:pPr>
        <w:rPr>
          <w:szCs w:val="21"/>
        </w:rPr>
      </w:pPr>
      <w:r>
        <w:rPr>
          <w:szCs w:val="21"/>
        </w:rPr>
        <w:t>[成份]</w:t>
      </w:r>
      <w:r>
        <w:rPr>
          <w:bCs/>
          <w:szCs w:val="21"/>
        </w:rPr>
        <w:t xml:space="preserve"> </w:t>
      </w:r>
    </w:p>
    <w:p>
      <w:pPr>
        <w:rPr>
          <w:szCs w:val="21"/>
        </w:rPr>
      </w:pPr>
      <w:r>
        <w:rPr>
          <w:szCs w:val="21"/>
        </w:rPr>
        <w:t xml:space="preserve">[性状] </w:t>
      </w:r>
    </w:p>
    <w:p>
      <w:pPr>
        <w:rPr>
          <w:szCs w:val="21"/>
        </w:rPr>
      </w:pPr>
      <w:r>
        <w:rPr>
          <w:szCs w:val="21"/>
        </w:rPr>
        <w:t xml:space="preserve">[作用类别] </w:t>
      </w:r>
      <w:r>
        <w:rPr>
          <w:kern w:val="0"/>
          <w:szCs w:val="21"/>
        </w:rPr>
        <w:t>本品为耳鼻喉科及皮肤科用药类非处方药药品。</w:t>
      </w:r>
    </w:p>
    <w:p>
      <w:pPr>
        <w:rPr>
          <w:kern w:val="0"/>
          <w:szCs w:val="21"/>
        </w:rPr>
      </w:pPr>
      <w:r>
        <w:rPr>
          <w:szCs w:val="21"/>
        </w:rPr>
        <w:t xml:space="preserve">[适应症] </w:t>
      </w:r>
      <w:r>
        <w:rPr>
          <w:kern w:val="0"/>
          <w:szCs w:val="21"/>
        </w:rPr>
        <w:t>用于缓解过敏性鼻炎有关的症状，如喷嚏、流涕及鼻痒、鼻塞以及眼部痒及烧灼感。亦适用于缓解慢性荨麻疹、瘙痒性皮肤病及其他过敏性皮肤病的症状及体征。</w:t>
      </w:r>
    </w:p>
    <w:p>
      <w:pPr>
        <w:rPr>
          <w:szCs w:val="21"/>
        </w:rPr>
      </w:pPr>
      <w:r>
        <w:rPr>
          <w:szCs w:val="21"/>
        </w:rPr>
        <w:t>[规格] 10毫克。</w:t>
      </w:r>
    </w:p>
    <w:p>
      <w:pPr>
        <w:rPr>
          <w:kern w:val="0"/>
          <w:szCs w:val="21"/>
        </w:rPr>
      </w:pPr>
      <w:r>
        <w:rPr>
          <w:szCs w:val="21"/>
        </w:rPr>
        <w:t xml:space="preserve">[用法用量] </w:t>
      </w:r>
      <w:r>
        <w:rPr>
          <w:kern w:val="0"/>
          <w:szCs w:val="21"/>
        </w:rPr>
        <w:t>用温开水溶解后口服。成人：每天一次，每次1包（10毫克）；2～12岁儿童，体重&gt;30千克，每天1次，每次1包（10毫克）；体重≤30千克，每天1次，每次半包（5毫克）。</w:t>
      </w:r>
    </w:p>
    <w:p>
      <w:pPr>
        <w:rPr>
          <w:szCs w:val="21"/>
        </w:rPr>
      </w:pPr>
      <w:r>
        <w:rPr>
          <w:szCs w:val="21"/>
        </w:rPr>
        <w:t xml:space="preserve">[不良反应] </w:t>
      </w:r>
    </w:p>
    <w:p>
      <w:pPr>
        <w:rPr>
          <w:kern w:val="0"/>
          <w:szCs w:val="21"/>
        </w:rPr>
      </w:pPr>
      <w:r>
        <w:rPr>
          <w:kern w:val="0"/>
          <w:szCs w:val="21"/>
        </w:rPr>
        <w:t>在每天10毫升的推荐剂量下，本品未见明显的镇静作用。</w:t>
      </w:r>
    </w:p>
    <w:p>
      <w:pPr>
        <w:rPr>
          <w:kern w:val="0"/>
          <w:szCs w:val="21"/>
        </w:rPr>
      </w:pPr>
      <w:r>
        <w:rPr>
          <w:kern w:val="0"/>
          <w:szCs w:val="21"/>
        </w:rPr>
        <w:t>常见不良反应有乏力、头痛、嗜睡、口干、胃肠道不适</w:t>
      </w:r>
      <w:r>
        <w:rPr>
          <w:rFonts w:hint="eastAsia"/>
          <w:kern w:val="0"/>
          <w:szCs w:val="21"/>
        </w:rPr>
        <w:t>（</w:t>
      </w:r>
      <w:r>
        <w:rPr>
          <w:kern w:val="0"/>
          <w:szCs w:val="21"/>
        </w:rPr>
        <w:t>包括恶心</w:t>
      </w:r>
      <w:r>
        <w:rPr>
          <w:rFonts w:hint="eastAsia"/>
          <w:kern w:val="0"/>
          <w:szCs w:val="21"/>
        </w:rPr>
        <w:t>）</w:t>
      </w:r>
      <w:r>
        <w:rPr>
          <w:kern w:val="0"/>
          <w:szCs w:val="21"/>
        </w:rPr>
        <w:t>、胃炎以及皮疹等。</w:t>
      </w:r>
    </w:p>
    <w:p>
      <w:pPr>
        <w:rPr>
          <w:kern w:val="0"/>
          <w:szCs w:val="21"/>
        </w:rPr>
      </w:pPr>
      <w:r>
        <w:rPr>
          <w:kern w:val="0"/>
          <w:szCs w:val="21"/>
        </w:rPr>
        <w:t>罕见不良反应有脱发、过敏反应、肝功能异常、心动过速、心悸及头晕等。</w:t>
      </w:r>
    </w:p>
    <w:p>
      <w:pPr>
        <w:rPr>
          <w:szCs w:val="21"/>
        </w:rPr>
      </w:pPr>
      <w:r>
        <w:rPr>
          <w:szCs w:val="21"/>
        </w:rPr>
        <w:t>[禁忌]</w:t>
      </w:r>
    </w:p>
    <w:p>
      <w:pPr>
        <w:rPr>
          <w:szCs w:val="21"/>
        </w:rPr>
      </w:pPr>
      <w:r>
        <w:rPr>
          <w:szCs w:val="21"/>
        </w:rPr>
        <w:t>对本品及其所含成份过敏者禁用。</w:t>
      </w:r>
    </w:p>
    <w:p>
      <w:pPr>
        <w:rPr>
          <w:szCs w:val="21"/>
        </w:rPr>
      </w:pPr>
      <w:r>
        <w:rPr>
          <w:szCs w:val="21"/>
        </w:rPr>
        <w:t>[注意事项]</w:t>
      </w:r>
    </w:p>
    <w:p>
      <w:pPr>
        <w:rPr>
          <w:szCs w:val="21"/>
        </w:rPr>
      </w:pPr>
      <w:r>
        <w:rPr>
          <w:szCs w:val="21"/>
        </w:rPr>
        <w:t>1.2岁以下儿童用药请咨询医师。</w:t>
      </w:r>
    </w:p>
    <w:p>
      <w:pPr>
        <w:rPr>
          <w:szCs w:val="21"/>
        </w:rPr>
      </w:pPr>
      <w:r>
        <w:rPr>
          <w:szCs w:val="21"/>
        </w:rPr>
        <w:t>2.肝功能受损者对氯雷他定的清除率降低，应降低初始剂量。推荐半剂量每天服用或全剂量隔天服用。</w:t>
      </w:r>
    </w:p>
    <w:p>
      <w:pPr>
        <w:rPr>
          <w:szCs w:val="21"/>
        </w:rPr>
      </w:pPr>
      <w:r>
        <w:rPr>
          <w:szCs w:val="21"/>
        </w:rPr>
        <w:t>3.肝功能不全的患者请在医生指导下使用。</w:t>
      </w:r>
    </w:p>
    <w:p>
      <w:pPr>
        <w:rPr>
          <w:szCs w:val="21"/>
        </w:rPr>
      </w:pPr>
      <w:r>
        <w:rPr>
          <w:szCs w:val="21"/>
        </w:rPr>
        <w:t>4.偶有使用本品时出现心律失常的报道，有心律失常病史者应慎用。</w:t>
      </w:r>
    </w:p>
    <w:p>
      <w:pPr>
        <w:rPr>
          <w:szCs w:val="21"/>
        </w:rPr>
      </w:pPr>
      <w:r>
        <w:rPr>
          <w:szCs w:val="21"/>
        </w:rPr>
        <w:t>5.妊娠期及哺乳期妇女慎用。本品在动物实验中未发现致畸作用，未在妊娠及哺乳期妇女中考察本品的安全性。当潜在获益超过可能对胎儿或新生儿造成潜在风险的情况下才使用本品。氯雷他定可通过母乳排泄，因此哺乳期妇女需要决定是否停止哺乳或停用本品。</w:t>
      </w:r>
    </w:p>
    <w:p>
      <w:pPr>
        <w:rPr>
          <w:szCs w:val="21"/>
        </w:rPr>
      </w:pPr>
      <w:r>
        <w:rPr>
          <w:szCs w:val="21"/>
        </w:rPr>
        <w:t>6.在做皮试前的约48小时左右应中止使用本品，因抗组胺药能阻止或降低皮试的阳性反应发生。</w:t>
      </w:r>
    </w:p>
    <w:p>
      <w:pPr>
        <w:rPr>
          <w:szCs w:val="21"/>
        </w:rPr>
      </w:pPr>
      <w:r>
        <w:rPr>
          <w:szCs w:val="21"/>
        </w:rPr>
        <w:t>7.已报告的本品服用过量的不良反应包括嗜睡、心动过速和头痛。如服用过量，请立即向医务人员求助，制定相应的治疗措施。氯雷他定不能通过血液透析清除，不确定是否能通过腹膜透析清除。</w:t>
      </w:r>
    </w:p>
    <w:p>
      <w:pPr>
        <w:rPr>
          <w:szCs w:val="21"/>
        </w:rPr>
      </w:pPr>
      <w:r>
        <w:rPr>
          <w:szCs w:val="21"/>
        </w:rPr>
        <w:t>8.当与酒精同时服用时，根据精神运动试验研究表明氯雷他定无药效协同作用。</w:t>
      </w:r>
    </w:p>
    <w:p>
      <w:pPr>
        <w:rPr>
          <w:szCs w:val="21"/>
        </w:rPr>
      </w:pPr>
      <w:r>
        <w:rPr>
          <w:szCs w:val="21"/>
        </w:rPr>
        <w:t>9.对本品过敏者禁用，过敏体质者慎用。</w:t>
      </w:r>
    </w:p>
    <w:p>
      <w:pPr>
        <w:rPr>
          <w:szCs w:val="21"/>
        </w:rPr>
      </w:pPr>
      <w:r>
        <w:rPr>
          <w:szCs w:val="21"/>
        </w:rPr>
        <w:t>10.本品性状发生改变时禁止使用。</w:t>
      </w:r>
    </w:p>
    <w:p>
      <w:pPr>
        <w:rPr>
          <w:szCs w:val="21"/>
        </w:rPr>
      </w:pPr>
      <w:r>
        <w:rPr>
          <w:szCs w:val="21"/>
        </w:rPr>
        <w:t>11.请将本品放在儿童不能接触的地方。</w:t>
      </w:r>
    </w:p>
    <w:p>
      <w:pPr>
        <w:rPr>
          <w:szCs w:val="21"/>
        </w:rPr>
      </w:pPr>
      <w:r>
        <w:rPr>
          <w:szCs w:val="21"/>
        </w:rPr>
        <w:t>12.儿童必须在成人监护下使用。</w:t>
      </w:r>
    </w:p>
    <w:p>
      <w:pPr>
        <w:rPr>
          <w:szCs w:val="21"/>
        </w:rPr>
      </w:pPr>
      <w:r>
        <w:rPr>
          <w:szCs w:val="21"/>
        </w:rPr>
        <w:t>13.如正在使用其他药品，使用本品前请咨询医师或药师。</w:t>
      </w:r>
    </w:p>
    <w:p>
      <w:pPr>
        <w:rPr>
          <w:szCs w:val="21"/>
        </w:rPr>
      </w:pPr>
      <w:r>
        <w:rPr>
          <w:szCs w:val="21"/>
        </w:rPr>
        <w:t xml:space="preserve">[药物相互作用] </w:t>
      </w:r>
    </w:p>
    <w:p>
      <w:pPr>
        <w:rPr>
          <w:szCs w:val="21"/>
        </w:rPr>
      </w:pPr>
      <w:r>
        <w:rPr>
          <w:szCs w:val="21"/>
        </w:rPr>
        <w:t>同时服用酮康唑、大环内酯类抗生素、西咪替丁、茶碱等药物，会提高氯雷他定在血浆中的浓度，应慎用。其他已知能抑制肝脏代谢的药物，在未明确与氯雷他定相互作用前应谨慎合用。</w:t>
      </w:r>
    </w:p>
    <w:p>
      <w:pPr>
        <w:rPr>
          <w:szCs w:val="21"/>
        </w:rPr>
      </w:pPr>
      <w:r>
        <w:rPr>
          <w:szCs w:val="21"/>
        </w:rPr>
        <w:t>如与其他药物同时使用可能会发生药物相互作用，详情请咨询医师或药师。</w:t>
      </w:r>
    </w:p>
    <w:p>
      <w:pPr>
        <w:rPr>
          <w:szCs w:val="21"/>
        </w:rPr>
      </w:pPr>
      <w:r>
        <w:rPr>
          <w:szCs w:val="21"/>
        </w:rPr>
        <w:t>[药理作用] 本品为高效、作用持久的三环类抗组胺药，为选择性外周H1受体拮抗剂。可缓解过敏反应引起的各种症状。</w:t>
      </w:r>
    </w:p>
    <w:p>
      <w:pPr>
        <w:rPr>
          <w:szCs w:val="21"/>
        </w:rPr>
      </w:pPr>
      <w:r>
        <w:rPr>
          <w:szCs w:val="21"/>
        </w:rPr>
        <w:t xml:space="preserve">[贮藏] </w:t>
      </w:r>
      <w:r>
        <w:rPr>
          <w:szCs w:val="21"/>
        </w:rPr>
        <w:br w:type="textWrapping"/>
      </w:r>
      <w:r>
        <w:rPr>
          <w:szCs w:val="21"/>
        </w:rPr>
        <w:t>[包装]</w:t>
      </w:r>
      <w:r>
        <w:rPr>
          <w:szCs w:val="21"/>
        </w:rPr>
        <w:br w:type="textWrapping"/>
      </w:r>
      <w:r>
        <w:rPr>
          <w:szCs w:val="21"/>
        </w:rPr>
        <w:t>[有效期]</w:t>
      </w:r>
      <w:r>
        <w:rPr>
          <w:szCs w:val="21"/>
        </w:rPr>
        <w:br w:type="textWrapping"/>
      </w:r>
      <w:r>
        <w:rPr>
          <w:szCs w:val="21"/>
        </w:rPr>
        <w:t>[执行标准]</w:t>
      </w:r>
      <w:r>
        <w:rPr>
          <w:szCs w:val="21"/>
        </w:rPr>
        <w:br w:type="textWrapping"/>
      </w:r>
      <w:r>
        <w:rPr>
          <w:szCs w:val="21"/>
        </w:rPr>
        <w:t>[批准文号]</w:t>
      </w:r>
      <w:r>
        <w:rPr>
          <w:szCs w:val="21"/>
        </w:rPr>
        <w:br w:type="textWrapping"/>
      </w:r>
      <w:r>
        <w:rPr>
          <w:szCs w:val="21"/>
        </w:rPr>
        <w:t>[说明书修订日期]</w:t>
      </w:r>
      <w:r>
        <w:rPr>
          <w:szCs w:val="21"/>
        </w:rPr>
        <w:br w:type="textWrapping"/>
      </w:r>
      <w:r>
        <w:rPr>
          <w:szCs w:val="21"/>
        </w:rPr>
        <w:t>[药品上市许可持有人]</w:t>
      </w:r>
    </w:p>
    <w:p>
      <w:pPr>
        <w:rPr>
          <w:szCs w:val="21"/>
        </w:rPr>
      </w:pPr>
      <w:r>
        <w:rPr>
          <w:szCs w:val="21"/>
        </w:rPr>
        <w:t xml:space="preserve">名   称： </w:t>
      </w:r>
      <w:r>
        <w:rPr>
          <w:szCs w:val="21"/>
        </w:rPr>
        <w:br w:type="textWrapping"/>
      </w:r>
      <w:r>
        <w:rPr>
          <w:szCs w:val="21"/>
        </w:rPr>
        <w:t>注册地址：</w:t>
      </w:r>
      <w:r>
        <w:rPr>
          <w:szCs w:val="21"/>
        </w:rPr>
        <w:br w:type="textWrapping"/>
      </w:r>
      <w:r>
        <w:rPr>
          <w:szCs w:val="21"/>
        </w:rPr>
        <w:t>邮政编码：</w:t>
      </w:r>
      <w:r>
        <w:rPr>
          <w:szCs w:val="21"/>
        </w:rPr>
        <w:br w:type="textWrapping"/>
      </w:r>
      <w:r>
        <w:rPr>
          <w:szCs w:val="21"/>
        </w:rPr>
        <w:t>电话号码：</w:t>
      </w:r>
      <w:r>
        <w:rPr>
          <w:szCs w:val="21"/>
        </w:rPr>
        <w:br w:type="textWrapping"/>
      </w:r>
      <w:r>
        <w:rPr>
          <w:szCs w:val="21"/>
        </w:rPr>
        <w:t>传真号码：</w:t>
      </w:r>
      <w:r>
        <w:rPr>
          <w:szCs w:val="21"/>
        </w:rPr>
        <w:br w:type="textWrapping"/>
      </w:r>
      <w:r>
        <w:rPr>
          <w:szCs w:val="21"/>
        </w:rPr>
        <w:t>网 址：</w:t>
      </w:r>
      <w:r>
        <w:rPr>
          <w:szCs w:val="21"/>
        </w:rPr>
        <w:br w:type="textWrapping"/>
      </w:r>
      <w:r>
        <w:rPr>
          <w:szCs w:val="21"/>
        </w:rPr>
        <w:t>[生产企业]</w:t>
      </w:r>
      <w:r>
        <w:rPr>
          <w:szCs w:val="21"/>
        </w:rPr>
        <w:br w:type="textWrapping"/>
      </w:r>
      <w:r>
        <w:rPr>
          <w:szCs w:val="21"/>
        </w:rPr>
        <w:t xml:space="preserve">企业名称： </w:t>
      </w:r>
      <w:r>
        <w:rPr>
          <w:szCs w:val="21"/>
        </w:rPr>
        <w:br w:type="textWrapping"/>
      </w:r>
      <w:r>
        <w:rPr>
          <w:szCs w:val="21"/>
        </w:rPr>
        <w:t>生产地址：</w:t>
      </w:r>
      <w:r>
        <w:rPr>
          <w:szCs w:val="21"/>
        </w:rPr>
        <w:br w:type="textWrapping"/>
      </w:r>
      <w:r>
        <w:rPr>
          <w:szCs w:val="21"/>
        </w:rPr>
        <w:t>如有问题可与药品上市许可持有人联系。</w:t>
      </w:r>
    </w:p>
    <w:p>
      <w:pPr>
        <w:spacing w:line="360" w:lineRule="auto"/>
        <w:ind w:firstLine="420" w:firstLineChars="200"/>
        <w:rPr>
          <w:rFonts w:eastAsia="仿宋"/>
          <w:b/>
          <w:sz w:val="28"/>
          <w:szCs w:val="28"/>
        </w:rPr>
      </w:pPr>
      <w:r>
        <w:t>（注：本说明书范本原则上不得删减，如原批准说明书的安全性内容较本范本内容更全面或更严格的，应保留原批准内容。）</w:t>
      </w:r>
    </w:p>
    <w:p>
      <w:pPr>
        <w:widowControl/>
        <w:jc w:val="left"/>
        <w:rPr>
          <w:rFonts w:eastAsia="仿宋_GB2312"/>
          <w:sz w:val="32"/>
          <w:szCs w:val="32"/>
        </w:rPr>
      </w:pPr>
      <w:r>
        <w:rPr>
          <w:bCs/>
        </w:rPr>
        <w:br w:type="page"/>
      </w:r>
      <w:r>
        <w:rPr>
          <w:rFonts w:eastAsia="黑体"/>
          <w:bCs/>
          <w:sz w:val="32"/>
          <w:szCs w:val="32"/>
        </w:rPr>
        <w:t>三、</w:t>
      </w:r>
      <w:r>
        <w:rPr>
          <w:rFonts w:eastAsia="黑体"/>
          <w:sz w:val="32"/>
          <w:szCs w:val="32"/>
        </w:rPr>
        <w:t>盐酸氨溴索口腔崩解片</w:t>
      </w:r>
    </w:p>
    <w:p>
      <w:pPr>
        <w:pStyle w:val="2"/>
        <w:jc w:val="center"/>
        <w:rPr>
          <w:rFonts w:ascii="Times New Roman" w:hAnsi="Times New Roman"/>
          <w:bCs w:val="0"/>
          <w:sz w:val="30"/>
          <w:szCs w:val="20"/>
        </w:rPr>
      </w:pPr>
      <w:r>
        <w:rPr>
          <w:rFonts w:ascii="Times New Roman" w:hAnsi="Times New Roman"/>
          <w:bCs w:val="0"/>
          <w:sz w:val="30"/>
          <w:szCs w:val="20"/>
        </w:rPr>
        <w:t>盐酸氨溴索口腔崩解片说明书</w:t>
      </w:r>
    </w:p>
    <w:p>
      <w:pPr>
        <w:spacing w:line="280" w:lineRule="exact"/>
        <w:jc w:val="center"/>
        <w:rPr>
          <w:rFonts w:eastAsia="黑体"/>
          <w:b/>
        </w:rPr>
      </w:pPr>
      <w:r>
        <w:rPr>
          <w:rFonts w:eastAsia="黑体"/>
          <w:b/>
        </w:rPr>
        <w:t>请仔细阅读说明书并按说明使用或在药师指导下购买和使用</w:t>
      </w:r>
    </w:p>
    <w:p>
      <w:pPr>
        <w:rPr>
          <w:szCs w:val="21"/>
        </w:rPr>
      </w:pPr>
      <w:r>
        <w:rPr>
          <w:szCs w:val="21"/>
        </w:rPr>
        <w:t>[药品名称]</w:t>
      </w:r>
    </w:p>
    <w:p>
      <w:pPr>
        <w:rPr>
          <w:szCs w:val="18"/>
        </w:rPr>
      </w:pPr>
      <w:r>
        <w:rPr>
          <w:rFonts w:hint="eastAsia"/>
          <w:szCs w:val="18"/>
        </w:rPr>
        <w:t>通用名称：盐酸氨溴索口腔崩解片</w:t>
      </w:r>
    </w:p>
    <w:p>
      <w:pPr>
        <w:rPr>
          <w:szCs w:val="21"/>
        </w:rPr>
      </w:pPr>
      <w:r>
        <w:rPr>
          <w:szCs w:val="18"/>
        </w:rPr>
        <w:t>商品名称：</w:t>
      </w:r>
    </w:p>
    <w:p>
      <w:pPr>
        <w:rPr>
          <w:szCs w:val="21"/>
        </w:rPr>
      </w:pPr>
      <w:r>
        <w:rPr>
          <w:szCs w:val="21"/>
        </w:rPr>
        <w:t>英文名称：</w:t>
      </w:r>
    </w:p>
    <w:p>
      <w:pPr>
        <w:rPr>
          <w:szCs w:val="21"/>
        </w:rPr>
      </w:pPr>
      <w:r>
        <w:rPr>
          <w:szCs w:val="21"/>
        </w:rPr>
        <w:t>汉语拼音：</w:t>
      </w:r>
    </w:p>
    <w:p>
      <w:pPr>
        <w:rPr>
          <w:szCs w:val="21"/>
        </w:rPr>
      </w:pPr>
      <w:r>
        <w:rPr>
          <w:szCs w:val="21"/>
        </w:rPr>
        <w:t>[成份]</w:t>
      </w:r>
      <w:r>
        <w:rPr>
          <w:bCs/>
          <w:szCs w:val="21"/>
        </w:rPr>
        <w:t xml:space="preserve"> </w:t>
      </w:r>
    </w:p>
    <w:p>
      <w:pPr>
        <w:rPr>
          <w:szCs w:val="21"/>
        </w:rPr>
      </w:pPr>
      <w:r>
        <w:rPr>
          <w:szCs w:val="21"/>
        </w:rPr>
        <w:t xml:space="preserve">[性状] </w:t>
      </w:r>
    </w:p>
    <w:p>
      <w:pPr>
        <w:rPr>
          <w:szCs w:val="21"/>
        </w:rPr>
      </w:pPr>
      <w:r>
        <w:rPr>
          <w:szCs w:val="21"/>
        </w:rPr>
        <w:t>[作用类别] 本品为祛痰药类非处方药品。</w:t>
      </w:r>
    </w:p>
    <w:p>
      <w:pPr>
        <w:rPr>
          <w:szCs w:val="21"/>
        </w:rPr>
      </w:pPr>
      <w:r>
        <w:rPr>
          <w:szCs w:val="21"/>
        </w:rPr>
        <w:t>[适应症] 适用于痰液粘稠不易咳出者。</w:t>
      </w:r>
    </w:p>
    <w:p>
      <w:pPr>
        <w:rPr>
          <w:szCs w:val="21"/>
        </w:rPr>
      </w:pPr>
      <w:r>
        <w:rPr>
          <w:szCs w:val="21"/>
        </w:rPr>
        <w:t>[规格] 30毫克。</w:t>
      </w:r>
    </w:p>
    <w:p>
      <w:pPr>
        <w:rPr>
          <w:szCs w:val="21"/>
        </w:rPr>
      </w:pPr>
      <w:r>
        <w:rPr>
          <w:szCs w:val="21"/>
        </w:rPr>
        <w:t>[用法用量] 置药物于舌面待其崩解后咽下。也可水送服或吞服。成人及12岁以上儿童：一次1片，一日3次。饭后服。</w:t>
      </w:r>
    </w:p>
    <w:p>
      <w:pPr>
        <w:rPr>
          <w:szCs w:val="21"/>
        </w:rPr>
      </w:pPr>
      <w:r>
        <w:rPr>
          <w:szCs w:val="21"/>
        </w:rPr>
        <w:t xml:space="preserve">[不良反应] </w:t>
      </w:r>
    </w:p>
    <w:p>
      <w:pPr>
        <w:rPr>
          <w:szCs w:val="21"/>
        </w:rPr>
      </w:pPr>
      <w:r>
        <w:rPr>
          <w:szCs w:val="21"/>
        </w:rPr>
        <w:t>1.偶见皮疹、恶心、胃部不适、食欲缺乏、腹痛、腹泻。</w:t>
      </w:r>
    </w:p>
    <w:p>
      <w:pPr>
        <w:rPr>
          <w:szCs w:val="21"/>
        </w:rPr>
      </w:pPr>
      <w:r>
        <w:rPr>
          <w:szCs w:val="21"/>
        </w:rPr>
        <w:t>2.其他过敏反应，包括过敏性休克、血管性水肿、荨麻疹和瘙痒。</w:t>
      </w:r>
    </w:p>
    <w:p>
      <w:pPr>
        <w:rPr>
          <w:szCs w:val="21"/>
        </w:rPr>
      </w:pPr>
      <w:r>
        <w:rPr>
          <w:szCs w:val="21"/>
        </w:rPr>
        <w:t>3.其他胃肠道反应，如胃肠道功能紊乱，包括呕吐和消化不良。</w:t>
      </w:r>
    </w:p>
    <w:p>
      <w:pPr>
        <w:rPr>
          <w:szCs w:val="21"/>
        </w:rPr>
      </w:pPr>
      <w:r>
        <w:rPr>
          <w:szCs w:val="21"/>
        </w:rPr>
        <w:t>4.其他神经系统反应，包括头痛、头晕。</w:t>
      </w:r>
    </w:p>
    <w:p>
      <w:pPr>
        <w:rPr>
          <w:szCs w:val="21"/>
        </w:rPr>
      </w:pPr>
      <w:r>
        <w:rPr>
          <w:szCs w:val="21"/>
        </w:rPr>
        <w:t>5.罕见严重的皮肤反应，包括多形性红斑、史蒂文斯-约翰逊综合征(SJS)/中毒性表皮坏死松解症(TEN)和急性全身性发疹性脓疱病。</w:t>
      </w:r>
    </w:p>
    <w:p>
      <w:pPr>
        <w:rPr>
          <w:szCs w:val="21"/>
        </w:rPr>
      </w:pPr>
      <w:r>
        <w:rPr>
          <w:szCs w:val="21"/>
        </w:rPr>
        <w:t>[禁忌]</w:t>
      </w:r>
    </w:p>
    <w:p>
      <w:pPr>
        <w:rPr>
          <w:szCs w:val="21"/>
        </w:rPr>
      </w:pPr>
      <w:r>
        <w:rPr>
          <w:szCs w:val="21"/>
        </w:rPr>
        <w:t>1.对盐酸氨溴索或本品其他成份过敏者不宜使用。</w:t>
      </w:r>
    </w:p>
    <w:p>
      <w:pPr>
        <w:rPr>
          <w:szCs w:val="21"/>
        </w:rPr>
      </w:pPr>
      <w:r>
        <w:rPr>
          <w:szCs w:val="21"/>
        </w:rPr>
        <w:t>2.妊娠头3个月内妇女禁用。</w:t>
      </w:r>
    </w:p>
    <w:p>
      <w:pPr>
        <w:rPr>
          <w:szCs w:val="21"/>
        </w:rPr>
      </w:pPr>
      <w:r>
        <w:rPr>
          <w:szCs w:val="21"/>
        </w:rPr>
        <w:t>[注意事项]</w:t>
      </w:r>
    </w:p>
    <w:p>
      <w:pPr>
        <w:rPr>
          <w:szCs w:val="21"/>
        </w:rPr>
      </w:pPr>
      <w:r>
        <w:rPr>
          <w:szCs w:val="21"/>
        </w:rPr>
        <w:t>1.孕妇及哺乳期妇女不建议使用本品，必要时，可遵医嘱慎用；妊娠头3个月内妇女禁用。</w:t>
      </w:r>
    </w:p>
    <w:p>
      <w:pPr>
        <w:rPr>
          <w:szCs w:val="21"/>
        </w:rPr>
      </w:pPr>
      <w:r>
        <w:rPr>
          <w:szCs w:val="21"/>
        </w:rPr>
        <w:t>2.儿童用量请咨询医师或药师。</w:t>
      </w:r>
    </w:p>
    <w:p>
      <w:pPr>
        <w:rPr>
          <w:szCs w:val="21"/>
        </w:rPr>
      </w:pPr>
      <w:r>
        <w:rPr>
          <w:szCs w:val="21"/>
        </w:rPr>
        <w:t>3.应避免与中枢性镇咳药（如右美沙芬等）同时使用，以免稀化的痰液堵塞气道。</w:t>
      </w:r>
      <w:r>
        <w:rPr>
          <w:szCs w:val="21"/>
        </w:rPr>
        <w:br w:type="textWrapping"/>
      </w:r>
      <w:r>
        <w:rPr>
          <w:szCs w:val="21"/>
        </w:rPr>
        <w:t>4.本品为一种粘液调节剂，仅对咳痰症状有一定作用，在使用时应注意咳嗽、咳痰的原因，如使用7日后未见好转，应立即就医。</w:t>
      </w:r>
    </w:p>
    <w:p>
      <w:pPr>
        <w:rPr>
          <w:szCs w:val="21"/>
        </w:rPr>
      </w:pPr>
      <w:r>
        <w:rPr>
          <w:szCs w:val="21"/>
        </w:rPr>
        <w:t>5.对于肾功能受损患者，只有在咨询医生后，才可使用本品。</w:t>
      </w:r>
    </w:p>
    <w:p>
      <w:pPr>
        <w:rPr>
          <w:szCs w:val="21"/>
        </w:rPr>
      </w:pPr>
      <w:r>
        <w:rPr>
          <w:szCs w:val="21"/>
        </w:rPr>
        <w:t>6.据报道，目前已出现少数严重的皮肤损害病例，如史蒂文斯-约翰逊综合征和中毒性表皮坏死松解症，与祛痰药（如盐酸氨溴索）用药时间相关。这些病例大多可由患者基础疾病的严重性和/或合并用药来予以解释。此外，在史蒂文斯-约翰逊综合征或中毒性表皮坏死松解症的早期阶段，患者可能会首先出现非特异性流感样前驱症状，如发烧、身体疼痛、鼻炎、咳嗽和喉咙痛。这些非特异性流感样前驱症状会产生误导，开始可能会使用咳嗽和感冒药进行对症治疗。因此，如果出现新的皮肤或黏膜病变，应立即就医，且作为预防措施，停止使用盐酸氨溴索。</w:t>
      </w:r>
    </w:p>
    <w:p>
      <w:pPr>
        <w:rPr>
          <w:szCs w:val="21"/>
        </w:rPr>
      </w:pPr>
      <w:r>
        <w:rPr>
          <w:szCs w:val="21"/>
        </w:rPr>
        <w:t>7.如服用过量或出现严重不良反应，应立即就医。</w:t>
      </w:r>
    </w:p>
    <w:p>
      <w:pPr>
        <w:rPr>
          <w:szCs w:val="21"/>
        </w:rPr>
      </w:pPr>
      <w:r>
        <w:rPr>
          <w:szCs w:val="21"/>
        </w:rPr>
        <w:t>8.对本品过敏者禁用，过敏体质者慎用。</w:t>
      </w:r>
    </w:p>
    <w:p>
      <w:pPr>
        <w:rPr>
          <w:szCs w:val="21"/>
        </w:rPr>
      </w:pPr>
      <w:r>
        <w:rPr>
          <w:szCs w:val="21"/>
        </w:rPr>
        <w:t>9.本品性状发生改变时禁止使用。</w:t>
      </w:r>
    </w:p>
    <w:p>
      <w:pPr>
        <w:rPr>
          <w:szCs w:val="21"/>
        </w:rPr>
      </w:pPr>
      <w:r>
        <w:rPr>
          <w:szCs w:val="21"/>
        </w:rPr>
        <w:t>10.请将本品放在儿童不能接触的地方。</w:t>
      </w:r>
    </w:p>
    <w:p>
      <w:pPr>
        <w:rPr>
          <w:szCs w:val="21"/>
        </w:rPr>
      </w:pPr>
      <w:r>
        <w:rPr>
          <w:szCs w:val="21"/>
        </w:rPr>
        <w:t>11.儿童必须在成人监护下使用。</w:t>
      </w:r>
    </w:p>
    <w:p>
      <w:pPr>
        <w:rPr>
          <w:szCs w:val="21"/>
        </w:rPr>
      </w:pPr>
      <w:r>
        <w:rPr>
          <w:szCs w:val="21"/>
        </w:rPr>
        <w:t>12.如正在使用其他药品，使用本品前请咨询医师或药师。</w:t>
      </w:r>
    </w:p>
    <w:p>
      <w:pPr>
        <w:rPr>
          <w:szCs w:val="21"/>
        </w:rPr>
      </w:pPr>
      <w:r>
        <w:rPr>
          <w:szCs w:val="21"/>
        </w:rPr>
        <w:t xml:space="preserve">[药物相互作用] </w:t>
      </w:r>
    </w:p>
    <w:p>
      <w:pPr>
        <w:rPr>
          <w:szCs w:val="21"/>
        </w:rPr>
      </w:pPr>
      <w:r>
        <w:rPr>
          <w:szCs w:val="21"/>
        </w:rPr>
        <w:t>1.本品与抗生素（阿莫西林、头孢呋辛、红霉素、强力霉素）同时服用，可导致抗生素在肺组织浓度升高。</w:t>
      </w:r>
    </w:p>
    <w:p>
      <w:pPr>
        <w:rPr>
          <w:szCs w:val="21"/>
        </w:rPr>
      </w:pPr>
      <w:r>
        <w:rPr>
          <w:szCs w:val="21"/>
        </w:rPr>
        <w:t>2.如与其他药物同时使用可能发生药物相互作用，详情请咨询医师或药师。</w:t>
      </w:r>
    </w:p>
    <w:p>
      <w:pPr>
        <w:rPr>
          <w:szCs w:val="21"/>
        </w:rPr>
      </w:pPr>
      <w:r>
        <w:rPr>
          <w:szCs w:val="21"/>
        </w:rPr>
        <w:t>[药理作用] 本品为粘液溶解剂，能增加呼吸道黏膜浆液腺的分泌，减少粘液腺分泌，从而降低痰液粘度，促进肺表面活性物质的分泌，增加支气管纤毛运动，使痰液易于咳出。</w:t>
      </w:r>
    </w:p>
    <w:p>
      <w:pPr>
        <w:spacing w:line="280" w:lineRule="exact"/>
        <w:rPr>
          <w:szCs w:val="21"/>
        </w:rPr>
      </w:pPr>
      <w:r>
        <w:rPr>
          <w:szCs w:val="21"/>
        </w:rPr>
        <w:t xml:space="preserve">[贮藏] </w:t>
      </w:r>
      <w:r>
        <w:rPr>
          <w:szCs w:val="21"/>
        </w:rPr>
        <w:br w:type="textWrapping"/>
      </w:r>
      <w:r>
        <w:rPr>
          <w:szCs w:val="21"/>
        </w:rPr>
        <w:t>[包装]</w:t>
      </w:r>
      <w:r>
        <w:rPr>
          <w:szCs w:val="21"/>
        </w:rPr>
        <w:br w:type="textWrapping"/>
      </w:r>
      <w:r>
        <w:rPr>
          <w:szCs w:val="21"/>
        </w:rPr>
        <w:t>[有效期]</w:t>
      </w:r>
      <w:r>
        <w:rPr>
          <w:szCs w:val="21"/>
        </w:rPr>
        <w:br w:type="textWrapping"/>
      </w:r>
      <w:r>
        <w:rPr>
          <w:szCs w:val="21"/>
        </w:rPr>
        <w:t>[执行标准]</w:t>
      </w:r>
      <w:r>
        <w:rPr>
          <w:szCs w:val="21"/>
        </w:rPr>
        <w:br w:type="textWrapping"/>
      </w:r>
      <w:r>
        <w:rPr>
          <w:szCs w:val="21"/>
        </w:rPr>
        <w:t>[批准文号]</w:t>
      </w:r>
      <w:r>
        <w:rPr>
          <w:szCs w:val="21"/>
        </w:rPr>
        <w:br w:type="textWrapping"/>
      </w:r>
      <w:r>
        <w:rPr>
          <w:szCs w:val="21"/>
        </w:rPr>
        <w:t>[说明书修订日期]</w:t>
      </w:r>
      <w:r>
        <w:rPr>
          <w:szCs w:val="21"/>
        </w:rPr>
        <w:br w:type="textWrapping"/>
      </w:r>
      <w:r>
        <w:rPr>
          <w:szCs w:val="21"/>
        </w:rPr>
        <w:t>[药品上市许可持有人]</w:t>
      </w:r>
    </w:p>
    <w:p>
      <w:pPr>
        <w:spacing w:line="280" w:lineRule="exact"/>
        <w:rPr>
          <w:szCs w:val="21"/>
        </w:rPr>
      </w:pPr>
      <w:r>
        <w:rPr>
          <w:szCs w:val="21"/>
        </w:rPr>
        <w:t xml:space="preserve">名   称： </w:t>
      </w:r>
      <w:r>
        <w:rPr>
          <w:szCs w:val="21"/>
        </w:rPr>
        <w:br w:type="textWrapping"/>
      </w:r>
      <w:r>
        <w:rPr>
          <w:szCs w:val="21"/>
        </w:rPr>
        <w:t>注册地址：</w:t>
      </w:r>
      <w:r>
        <w:rPr>
          <w:szCs w:val="21"/>
        </w:rPr>
        <w:br w:type="textWrapping"/>
      </w:r>
      <w:r>
        <w:rPr>
          <w:szCs w:val="21"/>
        </w:rPr>
        <w:t>邮政编码：</w:t>
      </w:r>
      <w:r>
        <w:rPr>
          <w:szCs w:val="21"/>
        </w:rPr>
        <w:br w:type="textWrapping"/>
      </w:r>
      <w:r>
        <w:rPr>
          <w:szCs w:val="21"/>
        </w:rPr>
        <w:t>电话号码：</w:t>
      </w:r>
      <w:r>
        <w:rPr>
          <w:szCs w:val="21"/>
        </w:rPr>
        <w:br w:type="textWrapping"/>
      </w:r>
      <w:r>
        <w:rPr>
          <w:szCs w:val="21"/>
        </w:rPr>
        <w:t>传真号码：</w:t>
      </w:r>
      <w:r>
        <w:rPr>
          <w:szCs w:val="21"/>
        </w:rPr>
        <w:br w:type="textWrapping"/>
      </w:r>
      <w:r>
        <w:rPr>
          <w:szCs w:val="21"/>
        </w:rPr>
        <w:t>网 址：</w:t>
      </w:r>
      <w:r>
        <w:rPr>
          <w:szCs w:val="21"/>
        </w:rPr>
        <w:br w:type="textWrapping"/>
      </w:r>
      <w:r>
        <w:rPr>
          <w:szCs w:val="21"/>
        </w:rPr>
        <w:t>[生产企业]</w:t>
      </w:r>
      <w:r>
        <w:rPr>
          <w:szCs w:val="21"/>
        </w:rPr>
        <w:br w:type="textWrapping"/>
      </w:r>
      <w:r>
        <w:rPr>
          <w:szCs w:val="21"/>
        </w:rPr>
        <w:t xml:space="preserve">企业名称： </w:t>
      </w:r>
      <w:r>
        <w:rPr>
          <w:szCs w:val="21"/>
        </w:rPr>
        <w:br w:type="textWrapping"/>
      </w:r>
      <w:r>
        <w:rPr>
          <w:szCs w:val="21"/>
        </w:rPr>
        <w:t>生产地址：</w:t>
      </w:r>
      <w:r>
        <w:rPr>
          <w:szCs w:val="21"/>
        </w:rPr>
        <w:br w:type="textWrapping"/>
      </w:r>
      <w:r>
        <w:rPr>
          <w:szCs w:val="21"/>
        </w:rPr>
        <w:t>如有问题可与药品上市许可持有人联系。</w:t>
      </w:r>
    </w:p>
    <w:p>
      <w:pPr>
        <w:spacing w:line="360" w:lineRule="auto"/>
        <w:ind w:firstLine="420" w:firstLineChars="200"/>
        <w:rPr>
          <w:rFonts w:eastAsia="仿宋"/>
          <w:b/>
          <w:sz w:val="28"/>
          <w:szCs w:val="28"/>
        </w:rPr>
      </w:pPr>
      <w:r>
        <w:t>（注：本说明书范本原则上不得删减，如原批准说明书的安全性内容较本范本内容更全面或更严格的，应保留原批准内容。）</w:t>
      </w:r>
    </w:p>
    <w:p>
      <w:pPr>
        <w:spacing w:line="280" w:lineRule="exact"/>
        <w:rPr>
          <w:szCs w:val="21"/>
        </w:rPr>
      </w:pPr>
    </w:p>
    <w:p>
      <w:pPr>
        <w:keepNext/>
        <w:keepLines/>
        <w:spacing w:before="260" w:after="260" w:line="416" w:lineRule="auto"/>
        <w:jc w:val="center"/>
        <w:outlineLvl w:val="1"/>
      </w:pPr>
    </w:p>
    <w:p>
      <w:pPr>
        <w:keepNext/>
        <w:keepLines/>
        <w:spacing w:before="260" w:after="260" w:line="416" w:lineRule="auto"/>
        <w:jc w:val="center"/>
        <w:outlineLvl w:val="1"/>
      </w:pPr>
    </w:p>
    <w:p>
      <w:pPr>
        <w:rPr>
          <w:rFonts w:eastAsia="仿宋_GB2312"/>
          <w:sz w:val="32"/>
          <w:szCs w:val="32"/>
        </w:rPr>
      </w:pPr>
    </w:p>
    <w:p>
      <w:pPr>
        <w:rPr>
          <w:rFonts w:eastAsia="仿宋_GB2312"/>
          <w:sz w:val="32"/>
          <w:szCs w:val="32"/>
        </w:rPr>
      </w:pPr>
    </w:p>
    <w:p>
      <w:pPr>
        <w:widowControl/>
        <w:jc w:val="left"/>
        <w:rPr>
          <w:rFonts w:eastAsia="黑体"/>
          <w:bCs/>
          <w:sz w:val="32"/>
          <w:szCs w:val="32"/>
        </w:rPr>
      </w:pPr>
      <w:r>
        <w:rPr>
          <w:rFonts w:eastAsia="黑体"/>
          <w:bCs/>
          <w:sz w:val="32"/>
          <w:szCs w:val="32"/>
        </w:rPr>
        <w:t>四、萘普生钠片</w:t>
      </w:r>
    </w:p>
    <w:p>
      <w:pPr>
        <w:pStyle w:val="2"/>
        <w:spacing w:before="0" w:after="0" w:line="415" w:lineRule="auto"/>
        <w:jc w:val="center"/>
        <w:rPr>
          <w:rFonts w:ascii="Times New Roman" w:hAnsi="Times New Roman"/>
          <w:bCs w:val="0"/>
          <w:color w:val="000000"/>
          <w:sz w:val="30"/>
        </w:rPr>
      </w:pPr>
      <w:r>
        <w:rPr>
          <w:rFonts w:ascii="Times New Roman" w:hAnsi="Times New Roman"/>
          <w:bCs w:val="0"/>
          <w:color w:val="000000"/>
          <w:sz w:val="30"/>
        </w:rPr>
        <w:t>萘普生钠片说明书</w:t>
      </w:r>
    </w:p>
    <w:p>
      <w:pPr>
        <w:spacing w:line="260" w:lineRule="exact"/>
        <w:rPr>
          <w:b/>
          <w:color w:val="000000"/>
          <w:szCs w:val="21"/>
        </w:rPr>
      </w:pPr>
      <w:r>
        <w:rPr>
          <w:b/>
          <w:color w:val="000000"/>
          <w:szCs w:val="21"/>
        </w:rPr>
        <w:t>请仔细阅读说明书并按说明使用或在药师指导下购买和使用</w:t>
      </w:r>
    </w:p>
    <w:p>
      <w:pPr>
        <w:spacing w:line="260" w:lineRule="exact"/>
        <w:rPr>
          <w:color w:val="000000"/>
          <w:szCs w:val="21"/>
        </w:rPr>
      </w:pPr>
      <w:r>
        <w:rPr>
          <w:color w:val="000000"/>
          <w:szCs w:val="21"/>
        </w:rPr>
        <w:t>[药品名称]</w:t>
      </w:r>
    </w:p>
    <w:p>
      <w:pPr>
        <w:spacing w:line="260" w:lineRule="exact"/>
        <w:rPr>
          <w:color w:val="000000"/>
          <w:szCs w:val="21"/>
        </w:rPr>
      </w:pPr>
      <w:r>
        <w:rPr>
          <w:color w:val="000000"/>
          <w:szCs w:val="21"/>
        </w:rPr>
        <w:t>通用名称：萘普生钠片</w:t>
      </w:r>
    </w:p>
    <w:p>
      <w:pPr>
        <w:spacing w:line="260" w:lineRule="exact"/>
        <w:rPr>
          <w:color w:val="000000"/>
          <w:szCs w:val="21"/>
        </w:rPr>
      </w:pPr>
      <w:r>
        <w:rPr>
          <w:color w:val="000000"/>
          <w:szCs w:val="21"/>
        </w:rPr>
        <w:t xml:space="preserve">商品名称： </w:t>
      </w:r>
    </w:p>
    <w:p>
      <w:pPr>
        <w:spacing w:line="260" w:lineRule="exact"/>
        <w:rPr>
          <w:color w:val="000000"/>
          <w:szCs w:val="21"/>
        </w:rPr>
      </w:pPr>
      <w:r>
        <w:rPr>
          <w:color w:val="000000"/>
          <w:szCs w:val="21"/>
        </w:rPr>
        <w:t>英文名称：</w:t>
      </w:r>
    </w:p>
    <w:p>
      <w:pPr>
        <w:spacing w:line="260" w:lineRule="exact"/>
        <w:rPr>
          <w:color w:val="000000"/>
          <w:szCs w:val="21"/>
        </w:rPr>
      </w:pPr>
      <w:r>
        <w:rPr>
          <w:color w:val="000000"/>
          <w:szCs w:val="21"/>
        </w:rPr>
        <w:t>汉语拼音：</w:t>
      </w:r>
    </w:p>
    <w:p>
      <w:pPr>
        <w:spacing w:line="260" w:lineRule="exact"/>
        <w:rPr>
          <w:color w:val="000000"/>
          <w:szCs w:val="21"/>
        </w:rPr>
      </w:pPr>
      <w:r>
        <w:rPr>
          <w:color w:val="000000"/>
          <w:szCs w:val="21"/>
        </w:rPr>
        <w:t>[成份]</w:t>
      </w:r>
    </w:p>
    <w:p>
      <w:pPr>
        <w:spacing w:line="260" w:lineRule="exact"/>
        <w:rPr>
          <w:color w:val="000000"/>
          <w:szCs w:val="21"/>
        </w:rPr>
      </w:pPr>
      <w:r>
        <w:rPr>
          <w:color w:val="000000"/>
          <w:szCs w:val="21"/>
        </w:rPr>
        <w:t xml:space="preserve">[性状] </w:t>
      </w:r>
    </w:p>
    <w:p>
      <w:pPr>
        <w:spacing w:line="260" w:lineRule="exact"/>
        <w:rPr>
          <w:color w:val="000000"/>
          <w:szCs w:val="21"/>
        </w:rPr>
      </w:pPr>
      <w:r>
        <w:rPr>
          <w:color w:val="000000"/>
          <w:szCs w:val="21"/>
        </w:rPr>
        <w:t>[作用类别]本品为镇痛类非处方药药品。</w:t>
      </w:r>
    </w:p>
    <w:p>
      <w:pPr>
        <w:spacing w:line="260" w:lineRule="exact"/>
        <w:rPr>
          <w:color w:val="000000"/>
          <w:szCs w:val="21"/>
        </w:rPr>
      </w:pPr>
      <w:r>
        <w:rPr>
          <w:color w:val="000000"/>
          <w:szCs w:val="21"/>
        </w:rPr>
        <w:t>[适应症]用于缓解轻至中度疼痛，如关节痛、神经痛、肌肉痛、偏头痛、头痛、痛经、牙痛。</w:t>
      </w:r>
    </w:p>
    <w:p>
      <w:pPr>
        <w:spacing w:line="260" w:lineRule="exact"/>
        <w:rPr>
          <w:color w:val="000000"/>
          <w:szCs w:val="21"/>
        </w:rPr>
      </w:pPr>
      <w:r>
        <w:rPr>
          <w:color w:val="000000"/>
          <w:szCs w:val="21"/>
        </w:rPr>
        <w:t>[规格]220毫克（相当于萘普生200毫克）</w:t>
      </w:r>
    </w:p>
    <w:p>
      <w:pPr>
        <w:spacing w:line="260" w:lineRule="exact"/>
        <w:rPr>
          <w:color w:val="000000"/>
          <w:szCs w:val="21"/>
        </w:rPr>
      </w:pPr>
      <w:r>
        <w:rPr>
          <w:color w:val="000000"/>
          <w:szCs w:val="21"/>
        </w:rPr>
        <w:t>[用法用量]口服。成人首次可服用440毫克（2片），如症状持续时可每隔8-12小时服用220毫克（1片）。24小时不超过660毫克（3片）。</w:t>
      </w:r>
    </w:p>
    <w:p>
      <w:pPr>
        <w:spacing w:line="260" w:lineRule="exact"/>
        <w:rPr>
          <w:color w:val="000000"/>
          <w:szCs w:val="21"/>
        </w:rPr>
      </w:pPr>
      <w:r>
        <w:rPr>
          <w:color w:val="000000"/>
          <w:szCs w:val="21"/>
        </w:rPr>
        <w:t>[不良反应]</w:t>
      </w:r>
    </w:p>
    <w:p>
      <w:pPr>
        <w:adjustRightInd w:val="0"/>
        <w:snapToGrid w:val="0"/>
        <w:rPr>
          <w:b/>
          <w:color w:val="000000"/>
          <w:szCs w:val="21"/>
        </w:rPr>
      </w:pPr>
      <w:r>
        <w:rPr>
          <w:b/>
          <w:color w:val="000000"/>
          <w:szCs w:val="21"/>
        </w:rPr>
        <w:t>据国外文献报道：</w:t>
      </w:r>
    </w:p>
    <w:p>
      <w:pPr>
        <w:adjustRightInd w:val="0"/>
        <w:snapToGrid w:val="0"/>
        <w:rPr>
          <w:b/>
          <w:color w:val="000000"/>
          <w:szCs w:val="21"/>
          <w:u w:val="single"/>
        </w:rPr>
      </w:pPr>
      <w:r>
        <w:rPr>
          <w:b/>
          <w:color w:val="000000"/>
          <w:szCs w:val="21"/>
          <w:u w:val="single"/>
        </w:rPr>
        <w:t>临床试验不良反应</w:t>
      </w:r>
    </w:p>
    <w:p>
      <w:pPr>
        <w:adjustRightInd w:val="0"/>
        <w:ind w:firstLine="420" w:firstLineChars="200"/>
        <w:rPr>
          <w:color w:val="000000"/>
          <w:szCs w:val="21"/>
        </w:rPr>
      </w:pPr>
      <w:r>
        <w:rPr>
          <w:color w:val="000000"/>
          <w:szCs w:val="21"/>
        </w:rPr>
        <w:t>由于临床试验是在特定条件下进行的，因此临床试验中观察到的不良反应发生率可能无法反映实际观察到的不良反应发生率，也不应与其他药物临床试验中的不良反应发生率进行比较。</w:t>
      </w:r>
    </w:p>
    <w:p>
      <w:pPr>
        <w:adjustRightInd w:val="0"/>
        <w:ind w:firstLine="420" w:firstLineChars="200"/>
        <w:rPr>
          <w:color w:val="000000"/>
          <w:szCs w:val="21"/>
        </w:rPr>
      </w:pPr>
      <w:r>
        <w:rPr>
          <w:color w:val="000000"/>
          <w:szCs w:val="21"/>
        </w:rPr>
        <w:t>根据国外46项随机、双盲、安慰剂对照、单剂量（220毫克或440毫克）或多剂量（440毫克/天和880毫克/天）或长期（880毫克/天）服用萘普生钠临床研究，共4623例受试者接受萘普生钠治疗，2659例受试者接受安慰剂治疗。在萘普生钠组和安慰剂组之间所有不良事件发生率无差异。多剂量试验中，与安慰剂相比，接受萘普生钠治疗的受试者，中重度不良事件发生频率较低，可能与同时治疗头痛有关。表1列出了胃肠道不良事件发生率，萘普生钠组与安慰剂组之间无差异。未发生严重胃肠道不良事件（出血或穿孔）或过敏反应。</w:t>
      </w:r>
    </w:p>
    <w:p>
      <w:pPr>
        <w:adjustRightInd w:val="0"/>
        <w:ind w:firstLine="420" w:firstLineChars="200"/>
        <w:rPr>
          <w:color w:val="000000"/>
          <w:szCs w:val="21"/>
        </w:rPr>
      </w:pPr>
    </w:p>
    <w:p>
      <w:pPr>
        <w:adjustRightInd w:val="0"/>
        <w:jc w:val="center"/>
        <w:rPr>
          <w:b/>
          <w:color w:val="000000"/>
          <w:szCs w:val="21"/>
        </w:rPr>
      </w:pPr>
      <w:r>
        <w:rPr>
          <w:b/>
          <w:color w:val="000000"/>
          <w:szCs w:val="21"/>
        </w:rPr>
        <w:t>表1 临床试验中服用萘普生钠（低剂量短期）发生率＞1%的不良事件</w:t>
      </w: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0" w:type="dxa"/>
            <w:tcBorders>
              <w:top w:val="single" w:color="auto" w:sz="4" w:space="0"/>
              <w:left w:val="nil"/>
              <w:bottom w:val="single" w:color="auto" w:sz="4" w:space="0"/>
              <w:right w:val="nil"/>
            </w:tcBorders>
          </w:tcPr>
          <w:p>
            <w:pPr>
              <w:adjustRightInd w:val="0"/>
              <w:spacing w:after="120" w:line="240" w:lineRule="exact"/>
              <w:rPr>
                <w:color w:val="000000"/>
                <w:sz w:val="22"/>
                <w:szCs w:val="21"/>
              </w:rPr>
            </w:pPr>
          </w:p>
        </w:tc>
        <w:tc>
          <w:tcPr>
            <w:tcW w:w="3020" w:type="dxa"/>
            <w:tcBorders>
              <w:top w:val="single" w:color="auto" w:sz="4" w:space="0"/>
              <w:left w:val="nil"/>
              <w:bottom w:val="single" w:color="auto" w:sz="4" w:space="0"/>
              <w:right w:val="nil"/>
            </w:tcBorders>
          </w:tcPr>
          <w:p>
            <w:pPr>
              <w:adjustRightInd w:val="0"/>
              <w:spacing w:after="120" w:line="240" w:lineRule="exact"/>
              <w:rPr>
                <w:color w:val="000000"/>
                <w:szCs w:val="21"/>
              </w:rPr>
            </w:pPr>
            <w:r>
              <w:rPr>
                <w:color w:val="000000"/>
                <w:szCs w:val="21"/>
              </w:rPr>
              <w:t>萘普生钠</w:t>
            </w:r>
          </w:p>
          <w:p>
            <w:pPr>
              <w:adjustRightInd w:val="0"/>
              <w:spacing w:after="120" w:line="240" w:lineRule="exact"/>
              <w:rPr>
                <w:color w:val="000000"/>
                <w:szCs w:val="21"/>
              </w:rPr>
            </w:pPr>
            <w:r>
              <w:rPr>
                <w:color w:val="000000"/>
                <w:szCs w:val="21"/>
              </w:rPr>
              <w:t>N=4623</w:t>
            </w:r>
          </w:p>
          <w:p>
            <w:pPr>
              <w:adjustRightInd w:val="0"/>
              <w:spacing w:after="120" w:line="240" w:lineRule="exact"/>
              <w:rPr>
                <w:color w:val="000000"/>
                <w:szCs w:val="21"/>
              </w:rPr>
            </w:pPr>
            <w:r>
              <w:rPr>
                <w:color w:val="000000"/>
                <w:szCs w:val="21"/>
              </w:rPr>
              <w:t>（%）</w:t>
            </w:r>
          </w:p>
        </w:tc>
        <w:tc>
          <w:tcPr>
            <w:tcW w:w="3020" w:type="dxa"/>
            <w:tcBorders>
              <w:top w:val="single" w:color="auto" w:sz="4" w:space="0"/>
              <w:left w:val="nil"/>
              <w:bottom w:val="single" w:color="auto" w:sz="4" w:space="0"/>
              <w:right w:val="nil"/>
            </w:tcBorders>
          </w:tcPr>
          <w:p>
            <w:pPr>
              <w:adjustRightInd w:val="0"/>
              <w:spacing w:after="120" w:line="240" w:lineRule="exact"/>
              <w:rPr>
                <w:color w:val="000000"/>
                <w:szCs w:val="21"/>
              </w:rPr>
            </w:pPr>
            <w:r>
              <w:rPr>
                <w:color w:val="000000"/>
                <w:szCs w:val="21"/>
              </w:rPr>
              <w:t>安慰剂</w:t>
            </w:r>
          </w:p>
          <w:p>
            <w:pPr>
              <w:adjustRightInd w:val="0"/>
              <w:spacing w:after="120" w:line="240" w:lineRule="exact"/>
              <w:rPr>
                <w:color w:val="000000"/>
                <w:szCs w:val="21"/>
              </w:rPr>
            </w:pPr>
            <w:r>
              <w:rPr>
                <w:color w:val="000000"/>
                <w:szCs w:val="21"/>
              </w:rPr>
              <w:t>N=2659</w:t>
            </w:r>
          </w:p>
          <w:p>
            <w:pPr>
              <w:adjustRightInd w:val="0"/>
              <w:spacing w:after="120" w:line="240" w:lineRule="exact"/>
              <w:rPr>
                <w:color w:val="000000"/>
                <w:szCs w:val="21"/>
              </w:rPr>
            </w:pPr>
            <w:r>
              <w:rPr>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20" w:type="dxa"/>
            <w:tcBorders>
              <w:top w:val="single" w:color="auto" w:sz="4" w:space="0"/>
              <w:left w:val="nil"/>
              <w:bottom w:val="single" w:color="auto" w:sz="4" w:space="0"/>
              <w:right w:val="nil"/>
            </w:tcBorders>
          </w:tcPr>
          <w:p>
            <w:pPr>
              <w:adjustRightInd w:val="0"/>
              <w:spacing w:after="120" w:line="240" w:lineRule="exact"/>
              <w:ind w:firstLine="422"/>
              <w:rPr>
                <w:b/>
                <w:color w:val="000000"/>
                <w:szCs w:val="21"/>
              </w:rPr>
            </w:pPr>
            <w:r>
              <w:rPr>
                <w:b/>
                <w:color w:val="000000"/>
                <w:szCs w:val="21"/>
              </w:rPr>
              <w:t>胃肠道</w:t>
            </w:r>
          </w:p>
          <w:p>
            <w:pPr>
              <w:adjustRightInd w:val="0"/>
              <w:spacing w:after="120" w:line="240" w:lineRule="exact"/>
              <w:ind w:firstLine="210" w:firstLineChars="100"/>
              <w:rPr>
                <w:color w:val="000000"/>
                <w:szCs w:val="21"/>
              </w:rPr>
            </w:pPr>
            <w:r>
              <w:rPr>
                <w:color w:val="000000"/>
                <w:szCs w:val="21"/>
              </w:rPr>
              <w:t>消化不良</w:t>
            </w:r>
          </w:p>
          <w:p>
            <w:pPr>
              <w:adjustRightInd w:val="0"/>
              <w:spacing w:after="120" w:line="240" w:lineRule="exact"/>
              <w:ind w:firstLine="420" w:firstLineChars="200"/>
              <w:rPr>
                <w:color w:val="000000"/>
                <w:szCs w:val="21"/>
              </w:rPr>
            </w:pPr>
            <w:r>
              <w:rPr>
                <w:color w:val="000000"/>
                <w:szCs w:val="21"/>
              </w:rPr>
              <w:t>恶心</w:t>
            </w:r>
          </w:p>
          <w:p>
            <w:pPr>
              <w:adjustRightInd w:val="0"/>
              <w:spacing w:after="120" w:line="240" w:lineRule="exact"/>
              <w:ind w:firstLine="420" w:firstLineChars="200"/>
              <w:rPr>
                <w:color w:val="000000"/>
                <w:szCs w:val="21"/>
              </w:rPr>
            </w:pPr>
            <w:r>
              <w:rPr>
                <w:color w:val="000000"/>
                <w:szCs w:val="21"/>
              </w:rPr>
              <w:t>呕吐</w:t>
            </w:r>
          </w:p>
          <w:p>
            <w:pPr>
              <w:adjustRightInd w:val="0"/>
              <w:spacing w:after="120" w:line="240" w:lineRule="exact"/>
              <w:ind w:firstLine="422"/>
              <w:rPr>
                <w:b/>
                <w:color w:val="000000"/>
                <w:szCs w:val="21"/>
              </w:rPr>
            </w:pPr>
            <w:r>
              <w:rPr>
                <w:b/>
                <w:color w:val="000000"/>
                <w:szCs w:val="21"/>
              </w:rPr>
              <w:t>神经系统</w:t>
            </w:r>
          </w:p>
          <w:p>
            <w:pPr>
              <w:adjustRightInd w:val="0"/>
              <w:spacing w:after="120" w:line="240" w:lineRule="exact"/>
              <w:ind w:firstLine="420" w:firstLineChars="200"/>
              <w:rPr>
                <w:color w:val="000000"/>
                <w:szCs w:val="21"/>
              </w:rPr>
            </w:pPr>
            <w:r>
              <w:rPr>
                <w:color w:val="000000"/>
                <w:szCs w:val="21"/>
              </w:rPr>
              <w:t>头晕</w:t>
            </w:r>
          </w:p>
          <w:p>
            <w:pPr>
              <w:adjustRightInd w:val="0"/>
              <w:spacing w:after="120" w:line="240" w:lineRule="exact"/>
              <w:ind w:firstLine="420" w:firstLineChars="200"/>
              <w:rPr>
                <w:color w:val="000000"/>
                <w:szCs w:val="21"/>
              </w:rPr>
            </w:pPr>
            <w:r>
              <w:rPr>
                <w:color w:val="000000"/>
                <w:szCs w:val="21"/>
              </w:rPr>
              <w:t>头痛</w:t>
            </w:r>
          </w:p>
          <w:p>
            <w:pPr>
              <w:adjustRightInd w:val="0"/>
              <w:spacing w:after="120" w:line="240" w:lineRule="exact"/>
              <w:ind w:firstLine="420" w:firstLineChars="200"/>
              <w:rPr>
                <w:color w:val="000000"/>
                <w:szCs w:val="21"/>
              </w:rPr>
            </w:pPr>
            <w:r>
              <w:rPr>
                <w:color w:val="000000"/>
                <w:szCs w:val="21"/>
              </w:rPr>
              <w:t>嗜睡</w:t>
            </w:r>
          </w:p>
        </w:tc>
        <w:tc>
          <w:tcPr>
            <w:tcW w:w="3020" w:type="dxa"/>
            <w:tcBorders>
              <w:top w:val="single" w:color="auto" w:sz="4" w:space="0"/>
              <w:left w:val="nil"/>
              <w:bottom w:val="single" w:color="auto" w:sz="4" w:space="0"/>
              <w:right w:val="nil"/>
            </w:tcBorders>
          </w:tcPr>
          <w:p>
            <w:pPr>
              <w:adjustRightInd w:val="0"/>
              <w:spacing w:after="120" w:line="240" w:lineRule="exact"/>
              <w:rPr>
                <w:color w:val="000000"/>
                <w:szCs w:val="21"/>
              </w:rPr>
            </w:pPr>
          </w:p>
          <w:p>
            <w:pPr>
              <w:adjustRightInd w:val="0"/>
              <w:spacing w:after="120" w:line="240" w:lineRule="exact"/>
              <w:rPr>
                <w:color w:val="000000"/>
                <w:szCs w:val="21"/>
              </w:rPr>
            </w:pPr>
            <w:r>
              <w:rPr>
                <w:color w:val="000000"/>
                <w:szCs w:val="21"/>
              </w:rPr>
              <w:t>1.9%</w:t>
            </w:r>
          </w:p>
          <w:p>
            <w:pPr>
              <w:adjustRightInd w:val="0"/>
              <w:spacing w:after="120" w:line="240" w:lineRule="exact"/>
              <w:rPr>
                <w:color w:val="000000"/>
                <w:szCs w:val="21"/>
              </w:rPr>
            </w:pPr>
            <w:r>
              <w:rPr>
                <w:color w:val="000000"/>
                <w:szCs w:val="21"/>
              </w:rPr>
              <w:t>4.4%</w:t>
            </w:r>
          </w:p>
          <w:p>
            <w:pPr>
              <w:adjustRightInd w:val="0"/>
              <w:spacing w:after="120" w:line="240" w:lineRule="exact"/>
              <w:rPr>
                <w:color w:val="000000"/>
                <w:szCs w:val="21"/>
              </w:rPr>
            </w:pPr>
            <w:r>
              <w:rPr>
                <w:color w:val="000000"/>
                <w:szCs w:val="21"/>
              </w:rPr>
              <w:t>1.8%</w:t>
            </w:r>
          </w:p>
          <w:p>
            <w:pPr>
              <w:adjustRightInd w:val="0"/>
              <w:spacing w:after="120" w:line="240" w:lineRule="exact"/>
              <w:rPr>
                <w:color w:val="000000"/>
                <w:szCs w:val="21"/>
              </w:rPr>
            </w:pPr>
          </w:p>
          <w:p>
            <w:pPr>
              <w:adjustRightInd w:val="0"/>
              <w:spacing w:after="120" w:line="240" w:lineRule="exact"/>
              <w:rPr>
                <w:color w:val="000000"/>
                <w:szCs w:val="21"/>
              </w:rPr>
            </w:pPr>
            <w:r>
              <w:rPr>
                <w:color w:val="000000"/>
                <w:szCs w:val="21"/>
              </w:rPr>
              <w:t>2.0%</w:t>
            </w:r>
          </w:p>
          <w:p>
            <w:pPr>
              <w:adjustRightInd w:val="0"/>
              <w:spacing w:after="120" w:line="240" w:lineRule="exact"/>
              <w:rPr>
                <w:color w:val="000000"/>
                <w:szCs w:val="21"/>
              </w:rPr>
            </w:pPr>
            <w:r>
              <w:rPr>
                <w:color w:val="000000"/>
                <w:szCs w:val="21"/>
              </w:rPr>
              <w:t>4.9%</w:t>
            </w:r>
          </w:p>
          <w:p>
            <w:pPr>
              <w:adjustRightInd w:val="0"/>
              <w:spacing w:after="120" w:line="240" w:lineRule="exact"/>
              <w:rPr>
                <w:color w:val="000000"/>
                <w:szCs w:val="21"/>
              </w:rPr>
            </w:pPr>
            <w:r>
              <w:rPr>
                <w:color w:val="000000"/>
                <w:szCs w:val="21"/>
              </w:rPr>
              <w:t>2.4%</w:t>
            </w:r>
          </w:p>
        </w:tc>
        <w:tc>
          <w:tcPr>
            <w:tcW w:w="3020" w:type="dxa"/>
            <w:tcBorders>
              <w:top w:val="single" w:color="auto" w:sz="4" w:space="0"/>
              <w:left w:val="nil"/>
              <w:bottom w:val="single" w:color="auto" w:sz="4" w:space="0"/>
              <w:right w:val="nil"/>
            </w:tcBorders>
          </w:tcPr>
          <w:p>
            <w:pPr>
              <w:adjustRightInd w:val="0"/>
              <w:spacing w:after="120" w:line="240" w:lineRule="exact"/>
              <w:rPr>
                <w:color w:val="000000"/>
                <w:szCs w:val="21"/>
              </w:rPr>
            </w:pPr>
          </w:p>
          <w:p>
            <w:pPr>
              <w:adjustRightInd w:val="0"/>
              <w:spacing w:after="120" w:line="240" w:lineRule="exact"/>
              <w:rPr>
                <w:color w:val="000000"/>
                <w:szCs w:val="21"/>
              </w:rPr>
            </w:pPr>
            <w:r>
              <w:rPr>
                <w:color w:val="000000"/>
                <w:szCs w:val="21"/>
              </w:rPr>
              <w:t>1.8%</w:t>
            </w:r>
          </w:p>
          <w:p>
            <w:pPr>
              <w:adjustRightInd w:val="0"/>
              <w:spacing w:after="120" w:line="240" w:lineRule="exact"/>
              <w:rPr>
                <w:color w:val="000000"/>
                <w:szCs w:val="21"/>
              </w:rPr>
            </w:pPr>
            <w:r>
              <w:rPr>
                <w:color w:val="000000"/>
                <w:szCs w:val="21"/>
              </w:rPr>
              <w:t>4.8%</w:t>
            </w:r>
          </w:p>
          <w:p>
            <w:pPr>
              <w:adjustRightInd w:val="0"/>
              <w:spacing w:after="120" w:line="240" w:lineRule="exact"/>
              <w:rPr>
                <w:color w:val="000000"/>
                <w:szCs w:val="21"/>
              </w:rPr>
            </w:pPr>
            <w:r>
              <w:rPr>
                <w:color w:val="000000"/>
                <w:szCs w:val="21"/>
              </w:rPr>
              <w:t>2.4%</w:t>
            </w:r>
          </w:p>
          <w:p>
            <w:pPr>
              <w:adjustRightInd w:val="0"/>
              <w:spacing w:after="120" w:line="240" w:lineRule="exact"/>
              <w:rPr>
                <w:color w:val="000000"/>
                <w:szCs w:val="21"/>
              </w:rPr>
            </w:pPr>
          </w:p>
          <w:p>
            <w:pPr>
              <w:adjustRightInd w:val="0"/>
              <w:spacing w:after="120" w:line="240" w:lineRule="exact"/>
              <w:rPr>
                <w:color w:val="000000"/>
                <w:szCs w:val="21"/>
              </w:rPr>
            </w:pPr>
            <w:r>
              <w:rPr>
                <w:color w:val="000000"/>
                <w:szCs w:val="21"/>
              </w:rPr>
              <w:t>2.1%</w:t>
            </w:r>
          </w:p>
          <w:p>
            <w:pPr>
              <w:adjustRightInd w:val="0"/>
              <w:spacing w:after="120" w:line="240" w:lineRule="exact"/>
              <w:rPr>
                <w:color w:val="000000"/>
                <w:szCs w:val="21"/>
              </w:rPr>
            </w:pPr>
            <w:r>
              <w:rPr>
                <w:color w:val="000000"/>
                <w:szCs w:val="21"/>
              </w:rPr>
              <w:t>6.8%</w:t>
            </w:r>
          </w:p>
          <w:p>
            <w:pPr>
              <w:adjustRightInd w:val="0"/>
              <w:spacing w:after="120" w:line="240" w:lineRule="exact"/>
              <w:rPr>
                <w:color w:val="000000"/>
                <w:szCs w:val="21"/>
              </w:rPr>
            </w:pPr>
            <w:r>
              <w:rPr>
                <w:color w:val="000000"/>
                <w:szCs w:val="21"/>
              </w:rPr>
              <w:t>1.5%</w:t>
            </w:r>
          </w:p>
        </w:tc>
      </w:tr>
    </w:tbl>
    <w:p>
      <w:pPr>
        <w:adjustRightInd w:val="0"/>
        <w:rPr>
          <w:b/>
          <w:color w:val="000000"/>
          <w:szCs w:val="21"/>
          <w:u w:val="single"/>
        </w:rPr>
      </w:pPr>
    </w:p>
    <w:p>
      <w:pPr>
        <w:adjustRightInd w:val="0"/>
        <w:rPr>
          <w:b/>
          <w:color w:val="000000"/>
          <w:szCs w:val="21"/>
          <w:u w:val="single"/>
        </w:rPr>
      </w:pPr>
      <w:r>
        <w:rPr>
          <w:b/>
          <w:color w:val="000000"/>
          <w:szCs w:val="21"/>
          <w:u w:val="single"/>
        </w:rPr>
        <w:t>临床试验少见不良反应（＜1%）</w:t>
      </w:r>
    </w:p>
    <w:p>
      <w:pPr>
        <w:adjustRightInd w:val="0"/>
        <w:ind w:firstLine="420" w:firstLineChars="200"/>
        <w:rPr>
          <w:color w:val="000000"/>
          <w:szCs w:val="21"/>
        </w:rPr>
      </w:pPr>
      <w:r>
        <w:rPr>
          <w:color w:val="000000"/>
          <w:szCs w:val="21"/>
        </w:rPr>
        <w:t>胃肠道：便秘、腹泻</w:t>
      </w:r>
    </w:p>
    <w:p>
      <w:pPr>
        <w:adjustRightInd w:val="0"/>
        <w:ind w:firstLine="420" w:firstLineChars="200"/>
        <w:rPr>
          <w:color w:val="000000"/>
          <w:szCs w:val="21"/>
        </w:rPr>
      </w:pPr>
      <w:r>
        <w:rPr>
          <w:color w:val="000000"/>
          <w:szCs w:val="21"/>
        </w:rPr>
        <w:t>其他：过敏反应、水肿、皮疹/瘙痒</w:t>
      </w:r>
    </w:p>
    <w:p>
      <w:pPr>
        <w:adjustRightInd w:val="0"/>
        <w:rPr>
          <w:b/>
          <w:color w:val="000000"/>
          <w:szCs w:val="21"/>
          <w:u w:val="single"/>
        </w:rPr>
      </w:pPr>
      <w:r>
        <w:rPr>
          <w:b/>
          <w:color w:val="000000"/>
          <w:szCs w:val="21"/>
          <w:u w:val="single"/>
        </w:rPr>
        <w:t>国外上市后不良反应</w:t>
      </w:r>
    </w:p>
    <w:p>
      <w:pPr>
        <w:adjustRightInd w:val="0"/>
        <w:jc w:val="center"/>
        <w:rPr>
          <w:b/>
          <w:color w:val="000000"/>
          <w:szCs w:val="21"/>
        </w:rPr>
      </w:pPr>
      <w:r>
        <w:rPr>
          <w:b/>
          <w:color w:val="000000"/>
          <w:szCs w:val="21"/>
        </w:rPr>
        <w:t>表2萘普生钠高剂量和/或长期服药时观察到的不良反应</w:t>
      </w:r>
    </w:p>
    <w:tbl>
      <w:tblPr>
        <w:tblStyle w:val="5"/>
        <w:tblpPr w:leftFromText="180" w:rightFromText="180" w:bottomFromText="200" w:vertAnchor="text" w:tblpXSpec="center" w:tblpY="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41"/>
        <w:gridCol w:w="2287"/>
        <w:gridCol w:w="453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免疫系统</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过敏性反应/过敏反应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血液</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造血障碍(白细胞减少、血小板减少、粒细胞减少、再生障碍性贫血、嗜酸粒细胞增多、溶血性贫血)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精神</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精神疾病、认知功能障碍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7" w:hRule="atLeast"/>
        </w:trPr>
        <w:tc>
          <w:tcPr>
            <w:tcW w:w="2241" w:type="dxa"/>
            <w:vMerge w:val="restart"/>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神经</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常见</w:t>
            </w:r>
          </w:p>
          <w:p>
            <w:pPr>
              <w:autoSpaceDE w:val="0"/>
              <w:autoSpaceDN w:val="0"/>
              <w:adjustRightInd w:val="0"/>
              <w:rPr>
                <w:color w:val="000000"/>
                <w:szCs w:val="21"/>
              </w:rPr>
            </w:pPr>
            <w:r>
              <w:rPr>
                <w:color w:val="000000"/>
                <w:szCs w:val="21"/>
              </w:rPr>
              <w:t>≥1%-&lt;10%</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头晕、头痛、头昏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偶见</w:t>
            </w:r>
          </w:p>
          <w:p>
            <w:pPr>
              <w:autoSpaceDE w:val="0"/>
              <w:autoSpaceDN w:val="0"/>
              <w:adjustRightInd w:val="0"/>
              <w:rPr>
                <w:color w:val="000000"/>
                <w:szCs w:val="21"/>
              </w:rPr>
            </w:pPr>
            <w:r>
              <w:rPr>
                <w:color w:val="000000"/>
                <w:szCs w:val="21"/>
              </w:rPr>
              <w:t>≥0.1%-&lt;1%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困倦、失眠、嗜睡</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无菌性脑膜炎、抽搐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眼睛</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视觉障碍、角膜混浊、视神经乳头炎、球后视神经炎、视神经乳头水肿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restart"/>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耳朵、迷路神经</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偶见</w:t>
            </w:r>
          </w:p>
          <w:p>
            <w:pPr>
              <w:autoSpaceDE w:val="0"/>
              <w:autoSpaceDN w:val="0"/>
              <w:adjustRightInd w:val="0"/>
              <w:rPr>
                <w:color w:val="000000"/>
                <w:szCs w:val="21"/>
              </w:rPr>
            </w:pPr>
            <w:r>
              <w:rPr>
                <w:color w:val="000000"/>
                <w:szCs w:val="21"/>
              </w:rPr>
              <w:t>≥0.1%-&lt;1%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眩晕</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听觉障碍、耳鸣</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心脏</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充血性心力衰竭、高血压、肺水肿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血管</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血管炎</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呼吸</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呼吸困难，哮喘，嗜酸性肺炎</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restart"/>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胃肠道</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常见</w:t>
            </w:r>
          </w:p>
          <w:p>
            <w:pPr>
              <w:autoSpaceDE w:val="0"/>
              <w:autoSpaceDN w:val="0"/>
              <w:adjustRightInd w:val="0"/>
              <w:rPr>
                <w:color w:val="000000"/>
                <w:szCs w:val="21"/>
              </w:rPr>
            </w:pPr>
            <w:r>
              <w:rPr>
                <w:color w:val="000000"/>
                <w:szCs w:val="21"/>
              </w:rPr>
              <w:t>≥1%-&lt;10%</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消化不良，恶心、胃灼热、腹痛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偶见</w:t>
            </w:r>
          </w:p>
          <w:p>
            <w:pPr>
              <w:autoSpaceDE w:val="0"/>
              <w:autoSpaceDN w:val="0"/>
              <w:adjustRightInd w:val="0"/>
              <w:rPr>
                <w:color w:val="000000"/>
                <w:szCs w:val="21"/>
              </w:rPr>
            </w:pPr>
            <w:r>
              <w:rPr>
                <w:color w:val="000000"/>
                <w:szCs w:val="21"/>
              </w:rPr>
              <w:t>≥0.1% -&lt;1%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腹泻、便秘、呕吐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5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罕见</w:t>
            </w:r>
          </w:p>
          <w:p>
            <w:pPr>
              <w:autoSpaceDE w:val="0"/>
              <w:autoSpaceDN w:val="0"/>
              <w:adjustRightInd w:val="0"/>
              <w:rPr>
                <w:color w:val="000000"/>
                <w:szCs w:val="21"/>
              </w:rPr>
            </w:pPr>
            <w:r>
              <w:rPr>
                <w:color w:val="000000"/>
                <w:szCs w:val="21"/>
              </w:rPr>
              <w:t>≥0.01-&lt;0.1%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消化性溃疡、胃出血或穿孔、消化道出血、呕血、黑便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胰腺炎、结肠炎、口疮溃疡、口腔炎、食管炎、肠溃疡</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肝胆</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肝炎、黄疸</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restart"/>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皮肤、皮下组织</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偶见</w:t>
            </w:r>
          </w:p>
          <w:p>
            <w:pPr>
              <w:autoSpaceDE w:val="0"/>
              <w:autoSpaceDN w:val="0"/>
              <w:adjustRightInd w:val="0"/>
              <w:rPr>
                <w:color w:val="000000"/>
                <w:szCs w:val="21"/>
              </w:rPr>
            </w:pPr>
            <w:r>
              <w:rPr>
                <w:color w:val="000000"/>
                <w:szCs w:val="21"/>
              </w:rPr>
              <w:t>≥0.1%-&lt;1%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皮疹，荨麻疹，瘙痒</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罕见</w:t>
            </w:r>
          </w:p>
          <w:p>
            <w:pPr>
              <w:autoSpaceDE w:val="0"/>
              <w:autoSpaceDN w:val="0"/>
              <w:adjustRightInd w:val="0"/>
              <w:rPr>
                <w:color w:val="000000"/>
                <w:szCs w:val="21"/>
              </w:rPr>
            </w:pPr>
            <w:r>
              <w:rPr>
                <w:color w:val="000000"/>
                <w:szCs w:val="21"/>
              </w:rPr>
              <w:t>≥0.01% -&lt;0.1%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血管神经性水肿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脱发(通常可逆)、光过敏、卟啉症、渗出性多形红斑、结节性红斑、中毒性表皮坏死松解型药疹、固定型药疹、扁平苔藓、脓疱反应、皮疹、系统性红斑狼疮、史蒂文斯-约翰逊综合症、迟发性表皮卟啉症(“假卟啉症”)或大疱性表皮松解坏死型药疹等光敏反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restart"/>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肾脏、泌尿系统</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罕见</w:t>
            </w:r>
          </w:p>
          <w:p>
            <w:pPr>
              <w:autoSpaceDE w:val="0"/>
              <w:autoSpaceDN w:val="0"/>
              <w:adjustRightInd w:val="0"/>
              <w:rPr>
                <w:color w:val="000000"/>
                <w:szCs w:val="21"/>
              </w:rPr>
            </w:pPr>
            <w:r>
              <w:rPr>
                <w:color w:val="000000"/>
                <w:szCs w:val="21"/>
              </w:rPr>
              <w:t>≥0.01% -&lt;0.1%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肾损害</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vMerge w:val="continue"/>
            <w:tcBorders>
              <w:top w:val="single" w:color="auto" w:sz="4" w:space="0"/>
              <w:left w:val="nil"/>
              <w:bottom w:val="single" w:color="auto" w:sz="4" w:space="0"/>
              <w:right w:val="nil"/>
            </w:tcBorders>
            <w:vAlign w:val="center"/>
          </w:tcPr>
          <w:p>
            <w:pPr>
              <w:rPr>
                <w:b/>
                <w:color w:val="000000"/>
                <w:szCs w:val="21"/>
              </w:rPr>
            </w:pP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间质性肾炎，肾乳头状坏死，肾病综合征，肾功能衰竭，肾病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妊娠</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流产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先天性疾病</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动脉导管闭合，口面裂</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生殖</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女性不孕</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一般疾病</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罕见</w:t>
            </w:r>
          </w:p>
          <w:p>
            <w:pPr>
              <w:autoSpaceDE w:val="0"/>
              <w:autoSpaceDN w:val="0"/>
              <w:adjustRightInd w:val="0"/>
              <w:rPr>
                <w:color w:val="000000"/>
                <w:szCs w:val="21"/>
              </w:rPr>
            </w:pPr>
            <w:r>
              <w:rPr>
                <w:color w:val="000000"/>
                <w:szCs w:val="21"/>
              </w:rPr>
              <w:t>≥0.01% -&lt;0.1%</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外周水肿，尤指高血压或肾衰竭、发热的患者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241" w:type="dxa"/>
            <w:tcBorders>
              <w:top w:val="single" w:color="auto" w:sz="4" w:space="0"/>
              <w:left w:val="nil"/>
              <w:bottom w:val="single" w:color="auto" w:sz="4" w:space="0"/>
              <w:right w:val="nil"/>
            </w:tcBorders>
            <w:vAlign w:val="center"/>
          </w:tcPr>
          <w:p>
            <w:pPr>
              <w:autoSpaceDE w:val="0"/>
              <w:autoSpaceDN w:val="0"/>
              <w:adjustRightInd w:val="0"/>
              <w:rPr>
                <w:b/>
                <w:color w:val="000000"/>
                <w:szCs w:val="21"/>
              </w:rPr>
            </w:pPr>
            <w:r>
              <w:rPr>
                <w:b/>
                <w:color w:val="000000"/>
                <w:szCs w:val="21"/>
              </w:rPr>
              <w:t>检查</w:t>
            </w:r>
          </w:p>
        </w:tc>
        <w:tc>
          <w:tcPr>
            <w:tcW w:w="2287"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十分罕见</w:t>
            </w:r>
          </w:p>
          <w:p>
            <w:pPr>
              <w:autoSpaceDE w:val="0"/>
              <w:autoSpaceDN w:val="0"/>
              <w:adjustRightInd w:val="0"/>
              <w:rPr>
                <w:color w:val="000000"/>
                <w:szCs w:val="21"/>
              </w:rPr>
            </w:pPr>
            <w:r>
              <w:rPr>
                <w:color w:val="000000"/>
                <w:szCs w:val="21"/>
              </w:rPr>
              <w:t>&lt;0.01%和单独报告</w:t>
            </w:r>
          </w:p>
        </w:tc>
        <w:tc>
          <w:tcPr>
            <w:tcW w:w="4532" w:type="dxa"/>
            <w:tcBorders>
              <w:top w:val="single" w:color="auto" w:sz="4" w:space="0"/>
              <w:left w:val="nil"/>
              <w:bottom w:val="single" w:color="auto" w:sz="4" w:space="0"/>
              <w:right w:val="nil"/>
            </w:tcBorders>
            <w:vAlign w:val="center"/>
          </w:tcPr>
          <w:p>
            <w:pPr>
              <w:autoSpaceDE w:val="0"/>
              <w:autoSpaceDN w:val="0"/>
              <w:adjustRightInd w:val="0"/>
              <w:rPr>
                <w:color w:val="000000"/>
                <w:szCs w:val="21"/>
              </w:rPr>
            </w:pPr>
            <w:r>
              <w:rPr>
                <w:color w:val="000000"/>
                <w:szCs w:val="21"/>
              </w:rPr>
              <w:t>血清肌酐升高，肝功能检查异常</w:t>
            </w:r>
          </w:p>
        </w:tc>
      </w:tr>
    </w:tbl>
    <w:p>
      <w:pPr>
        <w:adjustRightInd w:val="0"/>
        <w:ind w:firstLine="420" w:firstLineChars="200"/>
        <w:rPr>
          <w:color w:val="000000"/>
          <w:szCs w:val="21"/>
        </w:rPr>
      </w:pPr>
      <w:r>
        <w:rPr>
          <w:color w:val="000000"/>
          <w:szCs w:val="21"/>
        </w:rPr>
        <w:t>严重的过敏性药物不良反应十分罕见，更有可能发生在先前经历过过敏反应的受试者中。过敏症状可能包括：皮肤发红、皮疹、荨麻疹、水泡、面部肿胀、哮喘（喘息）、休克。短期内使用萘普生钠发生溃疡/出血/穿孔为罕见不良事件。</w:t>
      </w:r>
    </w:p>
    <w:p>
      <w:pPr>
        <w:adjustRightInd w:val="0"/>
        <w:snapToGrid w:val="0"/>
        <w:ind w:firstLine="420" w:firstLineChars="200"/>
        <w:rPr>
          <w:color w:val="000000"/>
          <w:szCs w:val="21"/>
        </w:rPr>
      </w:pPr>
      <w:r>
        <w:rPr>
          <w:color w:val="000000"/>
          <w:szCs w:val="21"/>
        </w:rPr>
        <w:t>短期内使用萘普生钠出现的药物不良反应通常较轻，停药后消失。萘普生钠作为高剂量和/或长期服用时的最常见不良反应为头晕、头痛、头昏、消化不良、恶心、胃灼热和腹痛。偶见嗜睡、失眠和皮疹。罕见外周性水肿。其他不良反应非常罕见和/或仅通过单独的报告发现。不良事件在所有非甾体抗炎药中均常见；没有针对萘普生钠特有的不良事件。</w:t>
      </w:r>
    </w:p>
    <w:p>
      <w:pPr>
        <w:rPr>
          <w:b/>
          <w:color w:val="000000"/>
          <w:szCs w:val="21"/>
        </w:rPr>
      </w:pPr>
      <w:r>
        <w:rPr>
          <w:b/>
          <w:color w:val="000000"/>
          <w:szCs w:val="21"/>
        </w:rPr>
        <w:t>[禁忌]</w:t>
      </w:r>
    </w:p>
    <w:p>
      <w:pPr>
        <w:rPr>
          <w:b/>
          <w:color w:val="000000"/>
          <w:szCs w:val="21"/>
        </w:rPr>
      </w:pPr>
      <w:r>
        <w:rPr>
          <w:b/>
          <w:color w:val="000000"/>
          <w:szCs w:val="21"/>
        </w:rPr>
        <w:t>1.对活性成份萘普生（包括萘普生钠）或辅料过敏者。</w:t>
      </w:r>
    </w:p>
    <w:p>
      <w:pPr>
        <w:rPr>
          <w:b/>
          <w:color w:val="000000"/>
          <w:szCs w:val="21"/>
        </w:rPr>
      </w:pPr>
      <w:r>
        <w:rPr>
          <w:b/>
          <w:color w:val="000000"/>
          <w:szCs w:val="21"/>
        </w:rPr>
        <w:t>2.服用阿司匹林（ASA）或其他非甾体类抗炎药（NSAIDs）后有哮喘、荨麻疹或过敏反应史者。</w:t>
      </w:r>
    </w:p>
    <w:p>
      <w:pPr>
        <w:rPr>
          <w:b/>
          <w:color w:val="000000"/>
          <w:szCs w:val="21"/>
        </w:rPr>
      </w:pPr>
      <w:r>
        <w:rPr>
          <w:b/>
          <w:color w:val="000000"/>
          <w:szCs w:val="21"/>
        </w:rPr>
        <w:t>3.禁用于冠状动脉搭桥手术（CABG）围手术期疼痛的治疗。</w:t>
      </w:r>
    </w:p>
    <w:p>
      <w:pPr>
        <w:rPr>
          <w:b/>
          <w:color w:val="000000"/>
          <w:szCs w:val="21"/>
        </w:rPr>
      </w:pPr>
      <w:r>
        <w:rPr>
          <w:b/>
          <w:color w:val="000000"/>
          <w:szCs w:val="21"/>
        </w:rPr>
        <w:t>4.有应用非甾体抗炎药后发生胃肠道出血或穿孔病史的患者。</w:t>
      </w:r>
    </w:p>
    <w:p>
      <w:pPr>
        <w:rPr>
          <w:b/>
          <w:color w:val="000000"/>
          <w:szCs w:val="21"/>
        </w:rPr>
      </w:pPr>
      <w:r>
        <w:rPr>
          <w:b/>
          <w:color w:val="000000"/>
          <w:szCs w:val="21"/>
        </w:rPr>
        <w:t>5.有活动性消化道溃疡/出血，或者既往曾复发溃疡/出血的患者。</w:t>
      </w:r>
    </w:p>
    <w:p>
      <w:pPr>
        <w:rPr>
          <w:b/>
          <w:color w:val="000000"/>
          <w:szCs w:val="21"/>
        </w:rPr>
      </w:pPr>
      <w:r>
        <w:rPr>
          <w:b/>
          <w:color w:val="000000"/>
          <w:szCs w:val="21"/>
        </w:rPr>
        <w:t>6.重度心力衰竭患者。</w:t>
      </w:r>
    </w:p>
    <w:p>
      <w:pPr>
        <w:rPr>
          <w:b/>
          <w:color w:val="000000"/>
          <w:szCs w:val="21"/>
        </w:rPr>
      </w:pPr>
      <w:r>
        <w:rPr>
          <w:b/>
          <w:color w:val="000000"/>
          <w:szCs w:val="21"/>
        </w:rPr>
        <w:t>7.严重肝损伤或活动性肝病、严重肾损伤患者。</w:t>
      </w:r>
    </w:p>
    <w:p>
      <w:pPr>
        <w:rPr>
          <w:b/>
          <w:color w:val="000000"/>
          <w:szCs w:val="21"/>
        </w:rPr>
      </w:pPr>
      <w:r>
        <w:rPr>
          <w:b/>
          <w:color w:val="000000"/>
          <w:szCs w:val="21"/>
        </w:rPr>
        <w:t>8.孕妇、哺乳期妇女禁用。</w:t>
      </w:r>
    </w:p>
    <w:p>
      <w:pPr>
        <w:rPr>
          <w:b/>
          <w:color w:val="000000"/>
          <w:szCs w:val="21"/>
        </w:rPr>
      </w:pPr>
      <w:r>
        <w:rPr>
          <w:b/>
          <w:color w:val="000000"/>
          <w:szCs w:val="21"/>
        </w:rPr>
        <w:t>9.哮喘、鼻息肉综合征、血管神经性水肿，以及对阿司匹林或其他解热镇痛药过敏者禁用。</w:t>
      </w:r>
    </w:p>
    <w:p>
      <w:pPr>
        <w:rPr>
          <w:b/>
          <w:color w:val="000000"/>
          <w:szCs w:val="21"/>
        </w:rPr>
      </w:pPr>
      <w:r>
        <w:rPr>
          <w:b/>
          <w:color w:val="000000"/>
          <w:szCs w:val="21"/>
        </w:rPr>
        <w:t xml:space="preserve">[注意事项] </w:t>
      </w:r>
    </w:p>
    <w:p>
      <w:pPr>
        <w:rPr>
          <w:b/>
          <w:color w:val="000000"/>
          <w:szCs w:val="21"/>
        </w:rPr>
      </w:pPr>
      <w:r>
        <w:rPr>
          <w:b/>
          <w:color w:val="000000"/>
          <w:szCs w:val="21"/>
        </w:rPr>
        <w:t>1.本品为对症治疗药，不宜长期或大量使用，用于止痛不得超过5天，症状未缓解，请咨询医师或药师。</w:t>
      </w:r>
    </w:p>
    <w:p>
      <w:pPr>
        <w:rPr>
          <w:b/>
          <w:color w:val="000000"/>
          <w:szCs w:val="21"/>
        </w:rPr>
      </w:pPr>
      <w:r>
        <w:rPr>
          <w:b/>
          <w:color w:val="000000"/>
          <w:szCs w:val="21"/>
        </w:rPr>
        <w:t>2.对本品过敏者禁用，过敏体质者慎用。</w:t>
      </w:r>
    </w:p>
    <w:p>
      <w:pPr>
        <w:rPr>
          <w:b/>
          <w:color w:val="000000"/>
          <w:szCs w:val="21"/>
        </w:rPr>
      </w:pPr>
      <w:r>
        <w:rPr>
          <w:b/>
          <w:color w:val="000000"/>
          <w:szCs w:val="21"/>
        </w:rPr>
        <w:t>3.有下列情况患者慎用：肝肾功能不全、凝血机制或血小板功能障碍（如血友病）。</w:t>
      </w:r>
    </w:p>
    <w:p>
      <w:pPr>
        <w:rPr>
          <w:b/>
          <w:color w:val="000000"/>
          <w:szCs w:val="21"/>
        </w:rPr>
      </w:pPr>
      <w:r>
        <w:rPr>
          <w:b/>
          <w:color w:val="000000"/>
          <w:szCs w:val="21"/>
        </w:rPr>
        <w:t>4.避免与其他非甾体类抗炎药，包括选择性COX-2抑制剂的合并用药。</w:t>
      </w:r>
    </w:p>
    <w:p>
      <w:pPr>
        <w:rPr>
          <w:b/>
          <w:color w:val="000000"/>
          <w:szCs w:val="21"/>
        </w:rPr>
      </w:pPr>
      <w:r>
        <w:rPr>
          <w:b/>
          <w:color w:val="000000"/>
          <w:szCs w:val="21"/>
        </w:rPr>
        <w:t>5.根据控制症状的需要，在最短治疗时间内使用最低有效剂量，可以使不良反应降到最低。</w:t>
      </w:r>
    </w:p>
    <w:p>
      <w:pPr>
        <w:rPr>
          <w:b/>
          <w:color w:val="000000"/>
          <w:szCs w:val="21"/>
        </w:rPr>
      </w:pPr>
      <w:r>
        <w:rPr>
          <w:b/>
          <w:color w:val="000000"/>
          <w:szCs w:val="21"/>
        </w:rPr>
        <w:t>6.在使用所有非甾体抗炎药治疗过程中的任何时候，都可能出现胃肠道出血、溃疡和穿孔的不良反应，其风险可能是致命的。这些不良反应可能伴有或不伴有警示症状，也无论患者是否有胃肠道不良反应史或严重的胃肠事件病史。既往有胃肠道病史（溃疡性结肠炎，克罗恩病）的患者应谨慎使用非甾体抗炎药，以免使病情恶化。当患者服用该药发生胃肠道出血或溃疡时，应停药。老年患者使用非甾体抗炎药出现不良反应的频率增加，尤其是胃肠道出血和穿孔，其风险可能是致命的。</w:t>
      </w:r>
    </w:p>
    <w:p>
      <w:pPr>
        <w:rPr>
          <w:b/>
          <w:color w:val="000000"/>
          <w:szCs w:val="21"/>
        </w:rPr>
      </w:pPr>
      <w:r>
        <w:rPr>
          <w:b/>
          <w:color w:val="000000"/>
          <w:szCs w:val="21"/>
        </w:rPr>
        <w:t>7.针对多种COX-2选择性或非选择性NSAIDs药物持续时间达3年的临床试验显示，本品可能引起严重心血管血栓性不良事件、心肌梗塞和中风的风险增加，其风险可能是致命的。所有的NSAIDs，包括COX-2选择性或非选择性药物，可能有相似的风险。有心血管疾病或心血管疾病危险因素的患者，其风险更大。即使既往没有心血管症状，医生和患者也应对此类事件的发生保持警惕。应告知患者严重心血管安全性的症状和/或体征以及如果发生应采取的步骤。</w:t>
      </w:r>
    </w:p>
    <w:p>
      <w:pPr>
        <w:ind w:firstLine="420" w:firstLineChars="200"/>
        <w:rPr>
          <w:b/>
          <w:color w:val="000000"/>
          <w:szCs w:val="21"/>
        </w:rPr>
      </w:pPr>
      <w:r>
        <w:rPr>
          <w:b/>
          <w:color w:val="000000"/>
          <w:szCs w:val="21"/>
        </w:rPr>
        <w:t>患者应该警惕诸如胸痛、气短、无力、言语含糊等症状和体征，而且当有任何上述症状或体征发生后应该马上寻求医生帮助。</w:t>
      </w:r>
    </w:p>
    <w:p>
      <w:pPr>
        <w:rPr>
          <w:b/>
          <w:color w:val="000000"/>
          <w:szCs w:val="21"/>
        </w:rPr>
      </w:pPr>
      <w:r>
        <w:rPr>
          <w:b/>
          <w:color w:val="000000"/>
          <w:szCs w:val="21"/>
        </w:rPr>
        <w:t>8.和所有NSAIDs一样，本品可导致新发高血压或使已有的高血压症状加重，其中的任何一种都可导致心血管事件的发生率增加。服用噻嗪类或髓袢利尿剂的患者服用NSAIDs时，可能会影响这些药物的疗效。高血压病患者应慎用NSAIDs，包括本品。在开始本品治疗和整个治疗过程中应密切监测血压。</w:t>
      </w:r>
    </w:p>
    <w:p>
      <w:pPr>
        <w:rPr>
          <w:b/>
          <w:color w:val="000000"/>
          <w:szCs w:val="21"/>
        </w:rPr>
      </w:pPr>
      <w:r>
        <w:rPr>
          <w:b/>
          <w:color w:val="000000"/>
          <w:szCs w:val="21"/>
        </w:rPr>
        <w:t>9.有高血压和/或心力衰竭（如液体潴留和水肿）及病史的患者应慎用，并在医师指导下使用。</w:t>
      </w:r>
    </w:p>
    <w:p>
      <w:pPr>
        <w:rPr>
          <w:b/>
          <w:color w:val="000000"/>
          <w:szCs w:val="21"/>
        </w:rPr>
      </w:pPr>
      <w:r>
        <w:rPr>
          <w:b/>
          <w:color w:val="000000"/>
          <w:szCs w:val="21"/>
        </w:rPr>
        <w:t>10. NSAIDs，包括本品可能引起致命的、严重的皮肤不良反应，例如剥脱性皮炎、Stevens Johnson综合征（SJS）和中毒性表皮坏死溶解症（TEN）。这些严重事件可在没有征兆的情况下出现。应告知患者严重皮肤反应的症状和体征，在第一次出现皮肤皮疹或过敏反应的其他征象时，应停用本品。</w:t>
      </w:r>
    </w:p>
    <w:p>
      <w:pPr>
        <w:rPr>
          <w:b/>
          <w:color w:val="000000"/>
          <w:szCs w:val="21"/>
        </w:rPr>
      </w:pPr>
      <w:r>
        <w:rPr>
          <w:b/>
          <w:color w:val="000000"/>
          <w:szCs w:val="21"/>
        </w:rPr>
        <w:t>11.患有哮喘、鼻炎、鼻息肉病史的患者应在医师指导下使用。</w:t>
      </w:r>
    </w:p>
    <w:p>
      <w:pPr>
        <w:rPr>
          <w:b/>
          <w:color w:val="000000"/>
          <w:szCs w:val="21"/>
        </w:rPr>
      </w:pPr>
      <w:r>
        <w:rPr>
          <w:b/>
          <w:color w:val="000000"/>
          <w:szCs w:val="21"/>
        </w:rPr>
        <w:t>12.萘普生可减弱阿司匹林的抗血小板作用。如果患者正在接受阿司匹林治疗并计划服用萘普生钠，请咨询医师或药师。</w:t>
      </w:r>
    </w:p>
    <w:p>
      <w:pPr>
        <w:rPr>
          <w:b/>
          <w:color w:val="000000"/>
          <w:szCs w:val="21"/>
        </w:rPr>
      </w:pPr>
      <w:r>
        <w:rPr>
          <w:b/>
          <w:color w:val="000000"/>
          <w:szCs w:val="21"/>
        </w:rPr>
        <w:t>13.部分患者服用非甾体类抗炎药（如本品）后可能会出现嗜睡、头晕、视力模糊、眩晕、耳鸣、听力下降、失眠或抑郁。如果患者出现上述不良反应，在进行比如开车或操作机器活动时需保持谨慎。</w:t>
      </w:r>
    </w:p>
    <w:p>
      <w:pPr>
        <w:rPr>
          <w:b/>
          <w:color w:val="000000"/>
          <w:szCs w:val="21"/>
        </w:rPr>
      </w:pPr>
      <w:r>
        <w:rPr>
          <w:b/>
          <w:color w:val="000000"/>
          <w:szCs w:val="21"/>
        </w:rPr>
        <w:t>14.服用本品期间不得饮酒或含有酒精的饮料。</w:t>
      </w:r>
    </w:p>
    <w:p>
      <w:pPr>
        <w:rPr>
          <w:b/>
          <w:color w:val="000000"/>
          <w:szCs w:val="21"/>
        </w:rPr>
      </w:pPr>
      <w:r>
        <w:rPr>
          <w:b/>
          <w:color w:val="000000"/>
          <w:szCs w:val="21"/>
        </w:rPr>
        <w:t>15.请将本品放在儿童不能接触的地方。</w:t>
      </w:r>
    </w:p>
    <w:p>
      <w:pPr>
        <w:rPr>
          <w:b/>
          <w:color w:val="000000"/>
          <w:szCs w:val="21"/>
        </w:rPr>
      </w:pPr>
      <w:r>
        <w:rPr>
          <w:b/>
          <w:color w:val="000000"/>
          <w:szCs w:val="21"/>
        </w:rPr>
        <w:t>16.60岁及以上患者慎用本品。应在密切观察患者状态的同时谨慎给药（如从小剂量开始服用）。年老体弱的患者更容易出现非甾体抗炎药的各种不良反应。这些不良反应的发生率随剂量和治疗时间的延长而增加。此外，老年患者对溃疡和出血的耐受性较差。大多数致命的胃肠道事件均发生于此类人群中。老年患者也存在发生食管下段损伤的风险（包括溃疡和出血）。</w:t>
      </w:r>
    </w:p>
    <w:p>
      <w:pPr>
        <w:rPr>
          <w:b/>
          <w:color w:val="000000"/>
          <w:szCs w:val="21"/>
        </w:rPr>
      </w:pPr>
      <w:r>
        <w:rPr>
          <w:b/>
          <w:color w:val="000000"/>
          <w:szCs w:val="21"/>
        </w:rPr>
        <w:t>17.不能同时服用其他含有解热镇痛药的药品（如某些复方抗感冒药）。</w:t>
      </w:r>
    </w:p>
    <w:p>
      <w:pPr>
        <w:rPr>
          <w:b/>
          <w:color w:val="000000"/>
          <w:szCs w:val="21"/>
        </w:rPr>
      </w:pPr>
      <w:r>
        <w:rPr>
          <w:b/>
          <w:color w:val="000000"/>
          <w:szCs w:val="21"/>
        </w:rPr>
        <w:t>18.如服用过量或出现严重不良反应，应立即就医。</w:t>
      </w:r>
    </w:p>
    <w:p>
      <w:pPr>
        <w:rPr>
          <w:b/>
          <w:color w:val="000000"/>
          <w:szCs w:val="21"/>
        </w:rPr>
      </w:pPr>
      <w:r>
        <w:rPr>
          <w:b/>
          <w:color w:val="000000"/>
          <w:szCs w:val="21"/>
        </w:rPr>
        <w:t>19.本品性状发生改变时禁止使用。</w:t>
      </w:r>
    </w:p>
    <w:p>
      <w:pPr>
        <w:rPr>
          <w:b/>
          <w:color w:val="000000"/>
          <w:szCs w:val="21"/>
        </w:rPr>
      </w:pPr>
      <w:r>
        <w:rPr>
          <w:b/>
          <w:color w:val="000000"/>
          <w:szCs w:val="21"/>
        </w:rPr>
        <w:t>20.如正在使用其他药品，使用本品前请咨询医师或药师。</w:t>
      </w:r>
    </w:p>
    <w:p>
      <w:pPr>
        <w:rPr>
          <w:color w:val="000000"/>
          <w:szCs w:val="21"/>
        </w:rPr>
      </w:pPr>
      <w:r>
        <w:rPr>
          <w:color w:val="000000"/>
          <w:szCs w:val="21"/>
        </w:rPr>
        <w:t xml:space="preserve">[药物相互作用] </w:t>
      </w:r>
    </w:p>
    <w:p>
      <w:pPr>
        <w:adjustRightInd w:val="0"/>
        <w:snapToGrid w:val="0"/>
        <w:spacing w:line="360" w:lineRule="auto"/>
        <w:rPr>
          <w:b/>
          <w:bCs/>
          <w:color w:val="000000"/>
          <w:szCs w:val="21"/>
        </w:rPr>
      </w:pPr>
      <w:r>
        <w:rPr>
          <w:b/>
          <w:bCs/>
          <w:color w:val="000000"/>
          <w:szCs w:val="21"/>
        </w:rPr>
        <w:t>据文献报道：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b/>
                <w:color w:val="000000"/>
                <w:szCs w:val="21"/>
              </w:rPr>
              <w:t>药品名称</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b/>
                <w:color w:val="000000"/>
                <w:szCs w:val="21"/>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环孢霉素</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环孢霉素浓度可能升高，引起肾毒性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锂制剂</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在一些患者中，锂离子浓度可能会升高，这可能引起恶心、烦渴、多尿、震颤、神志不清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甲氨蝶呤</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szCs w:val="21"/>
              </w:rPr>
            </w:pPr>
            <w:r>
              <w:rPr>
                <w:szCs w:val="21"/>
              </w:rPr>
              <w:t>如果每周甲氨蝶呤的摄入量超过15毫克，甲氨蝶呤浓度可能会增加，这可能引起血液恶液质、肾毒性、粘膜溃疡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酒精、非甾体抗炎药</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szCs w:val="21"/>
              </w:rPr>
            </w:pPr>
            <w:r>
              <w:rPr>
                <w:szCs w:val="21"/>
              </w:rPr>
              <w:t>增加胃肠道出血的风险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低剂量阿司匹林（每日81毫克-32毫克，用于心血管保护）</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szCs w:val="21"/>
              </w:rPr>
            </w:pPr>
            <w:r>
              <w:rPr>
                <w:szCs w:val="21"/>
              </w:rPr>
              <w:t>会增加胃肠道出血的风险，并可能减弱阿司匹林引起的不可逆血小板抑制作用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抗凝剂（如肝素、双香豆素）</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增加胃肠道出血的风险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糖皮质激素类</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增加胃肠道出血的风险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利尿剂（如呋塞米）、抗高血压药包含血管紧张素转换酶抑制剂、β受体阻断剂</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利尿和抗高血压的效果可能会降低，特别是对既往肾病患者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丙磺舒</w:t>
            </w:r>
          </w:p>
        </w:tc>
        <w:tc>
          <w:tcPr>
            <w:tcW w:w="6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000000"/>
                <w:szCs w:val="21"/>
              </w:rPr>
            </w:pPr>
            <w:r>
              <w:rPr>
                <w:color w:val="000000"/>
                <w:szCs w:val="21"/>
              </w:rPr>
              <w:t>可能导致本品血药浓度升高，半衰期延长，疗效增加，但不良反应也增加</w:t>
            </w:r>
          </w:p>
        </w:tc>
      </w:tr>
    </w:tbl>
    <w:p>
      <w:pPr>
        <w:adjustRightInd w:val="0"/>
        <w:snapToGrid w:val="0"/>
        <w:rPr>
          <w:b/>
          <w:color w:val="000000"/>
          <w:szCs w:val="21"/>
        </w:rPr>
      </w:pPr>
    </w:p>
    <w:p>
      <w:pPr>
        <w:adjustRightInd w:val="0"/>
        <w:snapToGrid w:val="0"/>
        <w:rPr>
          <w:b/>
          <w:color w:val="000000"/>
          <w:szCs w:val="21"/>
        </w:rPr>
      </w:pPr>
      <w:r>
        <w:rPr>
          <w:b/>
          <w:color w:val="000000"/>
          <w:szCs w:val="21"/>
        </w:rPr>
        <w:t>药物-实验室检查相互作用</w:t>
      </w:r>
    </w:p>
    <w:p>
      <w:pPr>
        <w:ind w:firstLine="420" w:firstLineChars="200"/>
        <w:rPr>
          <w:color w:val="000000"/>
          <w:szCs w:val="21"/>
        </w:rPr>
      </w:pPr>
      <w:r>
        <w:rPr>
          <w:color w:val="000000"/>
          <w:szCs w:val="21"/>
        </w:rPr>
        <w:t>萘普生钠会引起短暂的、剂量依赖的出血次数轻微增加，但在医学可接受范围内。萘普生钠理论上可能干扰尿中17-生酮类固醇（17-KGS）和5-羟基吲哚乙酸(5 HIAA)的分析。</w:t>
      </w:r>
    </w:p>
    <w:p>
      <w:pPr>
        <w:ind w:firstLine="420" w:firstLineChars="200"/>
        <w:rPr>
          <w:color w:val="000000"/>
          <w:szCs w:val="21"/>
        </w:rPr>
      </w:pPr>
      <w:r>
        <w:rPr>
          <w:color w:val="000000"/>
          <w:szCs w:val="21"/>
        </w:rPr>
        <w:t>如与其他药物同时使用可能会发生药物相互作用，详情请咨询医师或药师。</w:t>
      </w:r>
    </w:p>
    <w:p>
      <w:pPr>
        <w:rPr>
          <w:color w:val="000000"/>
          <w:szCs w:val="21"/>
        </w:rPr>
      </w:pPr>
      <w:r>
        <w:rPr>
          <w:color w:val="000000"/>
          <w:szCs w:val="21"/>
        </w:rPr>
        <w:t>[药理作用]本品为非甾体抗炎药，可抑制前列腺素的合成而发挥抗炎镇痛作用。</w:t>
      </w:r>
    </w:p>
    <w:p>
      <w:pPr>
        <w:rPr>
          <w:color w:val="000000"/>
          <w:szCs w:val="21"/>
        </w:rPr>
      </w:pPr>
      <w:r>
        <w:rPr>
          <w:color w:val="000000"/>
          <w:szCs w:val="21"/>
        </w:rPr>
        <w:t xml:space="preserve">[贮藏] </w:t>
      </w:r>
    </w:p>
    <w:p>
      <w:pPr>
        <w:rPr>
          <w:color w:val="000000"/>
          <w:szCs w:val="21"/>
        </w:rPr>
      </w:pPr>
      <w:r>
        <w:rPr>
          <w:color w:val="000000"/>
          <w:szCs w:val="21"/>
        </w:rPr>
        <w:t xml:space="preserve">[包装] </w:t>
      </w:r>
    </w:p>
    <w:p>
      <w:pPr>
        <w:rPr>
          <w:color w:val="000000"/>
          <w:szCs w:val="21"/>
        </w:rPr>
      </w:pPr>
      <w:r>
        <w:rPr>
          <w:color w:val="000000"/>
          <w:szCs w:val="21"/>
        </w:rPr>
        <w:t xml:space="preserve">[有效期] </w:t>
      </w:r>
    </w:p>
    <w:p>
      <w:pPr>
        <w:rPr>
          <w:color w:val="000000"/>
          <w:szCs w:val="21"/>
        </w:rPr>
      </w:pPr>
      <w:r>
        <w:rPr>
          <w:color w:val="000000"/>
          <w:szCs w:val="21"/>
        </w:rPr>
        <w:t>[执行标准]</w:t>
      </w:r>
    </w:p>
    <w:p>
      <w:pPr>
        <w:rPr>
          <w:color w:val="000000"/>
          <w:szCs w:val="21"/>
        </w:rPr>
      </w:pPr>
      <w:r>
        <w:rPr>
          <w:color w:val="000000"/>
          <w:szCs w:val="21"/>
        </w:rPr>
        <w:t xml:space="preserve">[批准文号] </w:t>
      </w:r>
    </w:p>
    <w:p>
      <w:pPr>
        <w:rPr>
          <w:color w:val="000000"/>
          <w:szCs w:val="21"/>
        </w:rPr>
      </w:pPr>
      <w:r>
        <w:rPr>
          <w:color w:val="000000"/>
          <w:szCs w:val="21"/>
        </w:rPr>
        <w:t xml:space="preserve">[说明书修订日期] </w:t>
      </w:r>
    </w:p>
    <w:p>
      <w:pPr>
        <w:rPr>
          <w:szCs w:val="21"/>
        </w:rPr>
      </w:pPr>
      <w:r>
        <w:rPr>
          <w:szCs w:val="21"/>
        </w:rPr>
        <w:t>[药品上市许可持有人]</w:t>
      </w:r>
    </w:p>
    <w:p>
      <w:pPr>
        <w:rPr>
          <w:szCs w:val="21"/>
        </w:rPr>
      </w:pPr>
      <w:r>
        <w:rPr>
          <w:szCs w:val="21"/>
        </w:rPr>
        <w:t xml:space="preserve">名   称： </w:t>
      </w:r>
      <w:r>
        <w:rPr>
          <w:szCs w:val="21"/>
        </w:rPr>
        <w:br w:type="textWrapping"/>
      </w:r>
      <w:r>
        <w:rPr>
          <w:szCs w:val="21"/>
        </w:rPr>
        <w:t>注册地址：</w:t>
      </w:r>
      <w:r>
        <w:rPr>
          <w:szCs w:val="21"/>
        </w:rPr>
        <w:br w:type="textWrapping"/>
      </w:r>
      <w:r>
        <w:rPr>
          <w:szCs w:val="21"/>
        </w:rPr>
        <w:t>邮政编码：</w:t>
      </w:r>
      <w:r>
        <w:rPr>
          <w:szCs w:val="21"/>
        </w:rPr>
        <w:br w:type="textWrapping"/>
      </w:r>
      <w:r>
        <w:rPr>
          <w:szCs w:val="21"/>
        </w:rPr>
        <w:t>电话号码：</w:t>
      </w:r>
      <w:r>
        <w:rPr>
          <w:szCs w:val="21"/>
        </w:rPr>
        <w:br w:type="textWrapping"/>
      </w:r>
      <w:r>
        <w:rPr>
          <w:szCs w:val="21"/>
        </w:rPr>
        <w:t>传真号码：</w:t>
      </w:r>
      <w:r>
        <w:rPr>
          <w:szCs w:val="21"/>
        </w:rPr>
        <w:br w:type="textWrapping"/>
      </w:r>
      <w:r>
        <w:rPr>
          <w:szCs w:val="21"/>
        </w:rPr>
        <w:t>网 址：</w:t>
      </w:r>
      <w:r>
        <w:rPr>
          <w:szCs w:val="21"/>
        </w:rPr>
        <w:br w:type="textWrapping"/>
      </w:r>
      <w:r>
        <w:rPr>
          <w:szCs w:val="21"/>
        </w:rPr>
        <w:t>[生产企业]</w:t>
      </w:r>
      <w:r>
        <w:rPr>
          <w:szCs w:val="21"/>
        </w:rPr>
        <w:br w:type="textWrapping"/>
      </w:r>
      <w:r>
        <w:rPr>
          <w:szCs w:val="21"/>
        </w:rPr>
        <w:t xml:space="preserve">企业名称： </w:t>
      </w:r>
      <w:r>
        <w:rPr>
          <w:szCs w:val="21"/>
        </w:rPr>
        <w:br w:type="textWrapping"/>
      </w:r>
      <w:r>
        <w:rPr>
          <w:szCs w:val="21"/>
        </w:rPr>
        <w:t>生产地址：</w:t>
      </w:r>
      <w:r>
        <w:rPr>
          <w:szCs w:val="21"/>
        </w:rPr>
        <w:br w:type="textWrapping"/>
      </w:r>
      <w:r>
        <w:rPr>
          <w:szCs w:val="21"/>
        </w:rPr>
        <w:t>如有问题可与药品上市许可持有人联系。</w:t>
      </w:r>
    </w:p>
    <w:p>
      <w:pPr>
        <w:spacing w:line="360" w:lineRule="auto"/>
        <w:ind w:firstLine="420" w:firstLineChars="200"/>
        <w:rPr>
          <w:rFonts w:eastAsia="仿宋"/>
          <w:b/>
          <w:sz w:val="28"/>
          <w:szCs w:val="28"/>
        </w:rPr>
      </w:pPr>
      <w:r>
        <w:t>（注：本说明书范本原则上不得删减，如原批准说明书的安全性内容较本范本内容更全面或更严格的，应保留原批准内容。）</w:t>
      </w:r>
    </w:p>
    <w:p>
      <w:pPr>
        <w:rPr>
          <w:rFonts w:eastAsia="仿宋_GB2312"/>
          <w:sz w:val="32"/>
          <w:szCs w:val="32"/>
        </w:rPr>
      </w:pPr>
    </w:p>
    <w:p>
      <w:pPr>
        <w:rPr>
          <w:rFonts w:eastAsia="仿宋_GB2312"/>
          <w:sz w:val="32"/>
          <w:szCs w:val="32"/>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254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Ao3XD1CA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i/Z0zheUdesoL/RvoI+pUap3NyC/embhuhF2q64QoWuUqIjeNL7M7j0dcHwE2XTvoaI6Yhcg&#10;AfU1mghIbjBCp9Yczq1RfWAylswv8ldzupJ0N3uZz/N5KiGK8bVDH94qMCwGJUdqfUIX+xsfIhtR&#10;jCmxmIW1btvU/tY+OKDEeJLYR8ID9dBv+pMbG6gOpANhmCb6SxQ0gN8462iSSm7p43DWvrPkRBy6&#10;McAx2IyBsJIeljxwNoTXYRjOnUO9bQh39PqK3FrrJCTaOnA4saTZSPpOcxyH7/4+Zd393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EqnqdEAAAAEAQAADwAAAAAAAAABACAAAAAiAAAAZHJzL2Rv&#10;d25yZXYueG1sUEsBAhQAFAAAAAgAh07iQCjdcPUIAgAAAwQAAA4AAAAAAAAAAQAgAAAAIAEAAGRy&#10;cy9lMm9Eb2MueG1sUEsFBgAAAAAGAAYAWQEAAJoFAAAAAA==&#10;">
              <v:fill on="f" focussize="0,0"/>
              <v:stroke on="f"/>
              <v:imagedata o:title=""/>
              <o:lock v:ext="edit" aspectratio="f"/>
              <v:textbox inset="0mm,0mm,0mm,0mm" style="mso-fit-shape-to-text:t;">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rPr>
                              <w:rFonts w:hint="eastAsia"/>
                              <w:color w:val="FFFFFF"/>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HtjQQCAAAE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i75gjMrDD346cf308/fp1/f&#10;2FW0p3e+oKp7R3VheA0DDU2S6t0dyC+eWbhthd2pG0ToWyVqojePN7NHV0ccH0Gq/h3U1EfsAySg&#10;oUETvSM3GKHT0xwvT6OGwGRsuVwslzkdSTqbNrGHKKbrDn14o8CwGJQc6e0TvDjc+TCWTiWxm4Wt&#10;7jrKi6KzfyUIM2YS/ch45B6GaqDqqKmC+khCEMZxos9EQQv4lbOeRqnkln4OZ91bS1bEqZsCnIJq&#10;CoSVdLHkgbMxvA3jdO4d6l1LuJPZN2TXVichDxzOLGk4khXnQY7T93ifqh4+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NCR7Y0EAgAABAQAAA4AAAAAAAAAAQAgAAAAHgEAAGRycy9lMm9E&#10;b2MueG1sUEsFBgAAAAAGAAYAWQEAAJQFAAAAAA==&#10;">
              <v:fill on="f" focussize="0,0"/>
              <v:stroke on="f"/>
              <v:imagedata o:title=""/>
              <o:lock v:ext="edit" aspectratio="f"/>
              <v:textbox inset="0mm,0mm,0mm,0mm" style="mso-fit-shape-to-text:t;">
                <w:txbxContent>
                  <w:p>
                    <w:pPr>
                      <w:pStyle w:val="3"/>
                      <w:rPr>
                        <w:rFonts w:hint="eastAsia"/>
                        <w:color w:val="FFFFFF"/>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EF292F"/>
    <w:rsid w:val="00170C0D"/>
    <w:rsid w:val="005C56B7"/>
    <w:rsid w:val="006220E3"/>
    <w:rsid w:val="35CB25BA"/>
    <w:rsid w:val="EFEF292F"/>
    <w:rsid w:val="EFE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7800</Words>
  <Characters>8269</Characters>
  <Lines>62</Lines>
  <Paragraphs>17</Paragraphs>
  <TotalTime>1</TotalTime>
  <ScaleCrop>false</ScaleCrop>
  <LinksUpToDate>false</LinksUpToDate>
  <CharactersWithSpaces>8338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2023-04-28T06:24:00Z</dcterms:created>
  <dc:creator>majh</dc:creator>
  <cp:lastModifiedBy>尢</cp:lastModifiedBy>
  <dcterms:modified xsi:type="dcterms:W3CDTF">2023-05-04T04:03:58Z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1DD17FB1EEE6465E9ED73747A079116A_13</vt:lpwstr>
  </property>
</Properties>
</file>