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ind w:firstLine="640" w:firstLineChars="200"/>
        <w:jc w:val="left"/>
        <w:rPr>
          <w:rFonts w:eastAsia="黑体" w:cs="黑体"/>
          <w:bCs/>
          <w:color w:val="000000"/>
          <w:sz w:val="32"/>
          <w:szCs w:val="32"/>
        </w:rPr>
      </w:pPr>
      <w:bookmarkStart w:id="0" w:name="_GoBack"/>
      <w:bookmarkEnd w:id="0"/>
    </w:p>
    <w:p>
      <w:pPr>
        <w:overflowPunct w:val="0"/>
        <w:spacing w:line="56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药品上市许可持有人落实药品质量安全</w:t>
      </w:r>
    </w:p>
    <w:p>
      <w:pPr>
        <w:overflowPunct w:val="0"/>
        <w:spacing w:line="56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主体责任监督管理规定</w:t>
      </w:r>
    </w:p>
    <w:p>
      <w:pPr>
        <w:pStyle w:val="7"/>
        <w:overflowPunct w:val="0"/>
        <w:spacing w:before="0" w:beforeAutospacing="0" w:after="0" w:afterAutospacing="0" w:line="560" w:lineRule="exact"/>
        <w:jc w:val="center"/>
        <w:rPr>
          <w:rStyle w:val="10"/>
          <w:rFonts w:eastAsia="黑体"/>
          <w:b w:val="0"/>
          <w:bCs/>
          <w:color w:val="000000"/>
          <w:sz w:val="32"/>
          <w:szCs w:val="32"/>
        </w:rPr>
      </w:pPr>
    </w:p>
    <w:p>
      <w:pPr>
        <w:spacing w:line="560" w:lineRule="exact"/>
        <w:jc w:val="center"/>
        <w:rPr>
          <w:rFonts w:eastAsia="方正小标宋_GBK"/>
          <w:sz w:val="32"/>
          <w:szCs w:val="32"/>
        </w:rPr>
      </w:pPr>
      <w:r>
        <w:rPr>
          <w:rFonts w:eastAsia="方正小标宋_GBK"/>
          <w:sz w:val="32"/>
          <w:szCs w:val="32"/>
        </w:rPr>
        <w:t>第一</w:t>
      </w:r>
      <w:r>
        <w:rPr>
          <w:rFonts w:eastAsia="方正小标宋_GBK"/>
          <w:sz w:val="32"/>
          <w:szCs w:val="32"/>
          <w:lang w:val="en"/>
        </w:rPr>
        <w:t xml:space="preserve">章  </w:t>
      </w:r>
      <w:r>
        <w:rPr>
          <w:rFonts w:eastAsia="方正小标宋_GBK"/>
          <w:sz w:val="32"/>
          <w:szCs w:val="32"/>
        </w:rPr>
        <w:t>总</w:t>
      </w:r>
      <w:r>
        <w:rPr>
          <w:rFonts w:eastAsia="方正小标宋_GBK"/>
          <w:sz w:val="32"/>
          <w:szCs w:val="32"/>
          <w:lang w:val="en"/>
        </w:rPr>
        <w:t xml:space="preserve">  </w:t>
      </w:r>
      <w:r>
        <w:rPr>
          <w:rFonts w:eastAsia="方正小标宋_GBK"/>
          <w:sz w:val="32"/>
          <w:szCs w:val="32"/>
        </w:rPr>
        <w:t>则</w:t>
      </w:r>
    </w:p>
    <w:p>
      <w:pPr>
        <w:pStyle w:val="7"/>
        <w:overflowPunct w:val="0"/>
        <w:adjustRightInd w:val="0"/>
        <w:snapToGrid w:val="0"/>
        <w:spacing w:before="0" w:beforeAutospacing="0" w:after="0" w:afterAutospacing="0" w:line="560" w:lineRule="exact"/>
        <w:ind w:firstLine="640" w:firstLineChars="200"/>
        <w:jc w:val="both"/>
        <w:rPr>
          <w:rFonts w:eastAsia="仿宋_GB2312"/>
          <w:bCs/>
          <w:color w:val="000000"/>
          <w:sz w:val="32"/>
          <w:szCs w:val="32"/>
        </w:rPr>
      </w:pPr>
      <w:r>
        <w:rPr>
          <w:rStyle w:val="10"/>
          <w:rFonts w:eastAsia="黑体"/>
          <w:b w:val="0"/>
          <w:bCs/>
          <w:color w:val="000000"/>
          <w:sz w:val="32"/>
          <w:szCs w:val="32"/>
        </w:rPr>
        <w:t>第一</w:t>
      </w:r>
      <w:r>
        <w:rPr>
          <w:rFonts w:eastAsia="黑体"/>
          <w:bCs/>
          <w:color w:val="000000"/>
          <w:sz w:val="32"/>
          <w:szCs w:val="32"/>
        </w:rPr>
        <w:t>条</w:t>
      </w:r>
      <w:r>
        <w:rPr>
          <w:rFonts w:hint="eastAsia" w:eastAsia="黑体"/>
          <w:bCs/>
          <w:color w:val="000000"/>
          <w:sz w:val="32"/>
          <w:szCs w:val="32"/>
        </w:rPr>
        <w:t xml:space="preserve">  </w:t>
      </w:r>
      <w:r>
        <w:rPr>
          <w:rFonts w:eastAsia="仿宋_GB2312"/>
          <w:bCs/>
          <w:color w:val="000000"/>
          <w:sz w:val="32"/>
          <w:szCs w:val="32"/>
        </w:rPr>
        <w:t>为</w:t>
      </w:r>
      <w:r>
        <w:rPr>
          <w:rFonts w:hint="eastAsia" w:eastAsia="仿宋_GB2312"/>
          <w:bCs/>
          <w:color w:val="000000"/>
          <w:sz w:val="32"/>
          <w:szCs w:val="32"/>
        </w:rPr>
        <w:t>落实</w:t>
      </w:r>
      <w:r>
        <w:rPr>
          <w:rFonts w:eastAsia="仿宋_GB2312"/>
          <w:bCs/>
          <w:color w:val="000000"/>
          <w:sz w:val="32"/>
          <w:szCs w:val="32"/>
        </w:rPr>
        <w:t>药品上市许可持有人（以下简称持有人）</w:t>
      </w:r>
      <w:r>
        <w:rPr>
          <w:rFonts w:hint="eastAsia" w:eastAsia="仿宋_GB2312"/>
          <w:bCs/>
          <w:color w:val="000000"/>
          <w:sz w:val="32"/>
          <w:szCs w:val="32"/>
        </w:rPr>
        <w:t>的</w:t>
      </w:r>
      <w:r>
        <w:rPr>
          <w:rFonts w:eastAsia="仿宋_GB2312"/>
          <w:bCs/>
          <w:color w:val="000000"/>
          <w:sz w:val="32"/>
          <w:szCs w:val="32"/>
        </w:rPr>
        <w:t>质量</w:t>
      </w:r>
      <w:r>
        <w:rPr>
          <w:rFonts w:hint="eastAsia" w:eastAsia="仿宋_GB2312"/>
          <w:bCs/>
          <w:color w:val="000000"/>
          <w:sz w:val="32"/>
          <w:szCs w:val="32"/>
        </w:rPr>
        <w:t>安全</w:t>
      </w:r>
      <w:r>
        <w:rPr>
          <w:rFonts w:eastAsia="仿宋_GB2312"/>
          <w:bCs/>
          <w:color w:val="000000"/>
          <w:sz w:val="32"/>
          <w:szCs w:val="32"/>
        </w:rPr>
        <w:t>主体责任</w:t>
      </w:r>
      <w:r>
        <w:rPr>
          <w:rStyle w:val="15"/>
          <w:rFonts w:hint="default" w:ascii="Times New Roman" w:hAnsi="Times New Roman" w:eastAsia="仿宋_GB2312"/>
          <w:bCs/>
        </w:rPr>
        <w:t>，</w:t>
      </w:r>
      <w:r>
        <w:rPr>
          <w:rFonts w:eastAsia="仿宋_GB2312"/>
          <w:bCs/>
          <w:color w:val="000000"/>
          <w:sz w:val="32"/>
          <w:szCs w:val="32"/>
        </w:rPr>
        <w:t>根据《中华人民共和国药品管理法》《中华人民共和国疫苗管理法》</w:t>
      </w:r>
      <w:r>
        <w:rPr>
          <w:rFonts w:hint="eastAsia" w:eastAsia="仿宋_GB2312"/>
          <w:bCs/>
          <w:color w:val="000000"/>
          <w:sz w:val="32"/>
          <w:szCs w:val="32"/>
        </w:rPr>
        <w:t>《药品注册管理办法》</w:t>
      </w:r>
      <w:r>
        <w:rPr>
          <w:rFonts w:eastAsia="仿宋_GB2312"/>
          <w:bCs/>
          <w:color w:val="000000"/>
          <w:sz w:val="32"/>
          <w:szCs w:val="32"/>
        </w:rPr>
        <w:t>《药品生产监督管理办法》以及药品生产质量管理规范、药品经营质量管理规范、</w:t>
      </w:r>
      <w:r>
        <w:rPr>
          <w:rStyle w:val="15"/>
          <w:rFonts w:hint="default" w:ascii="Times New Roman" w:hAnsi="Times New Roman" w:eastAsia="仿宋_GB2312"/>
          <w:bCs/>
        </w:rPr>
        <w:t>药物警戒质量管理规范</w:t>
      </w:r>
      <w:r>
        <w:rPr>
          <w:rFonts w:eastAsia="仿宋_GB2312"/>
          <w:bCs/>
          <w:color w:val="000000"/>
          <w:sz w:val="32"/>
          <w:szCs w:val="32"/>
        </w:rPr>
        <w:t>等，制定本规定。</w:t>
      </w:r>
    </w:p>
    <w:p>
      <w:pPr>
        <w:pStyle w:val="7"/>
        <w:overflowPunct w:val="0"/>
        <w:adjustRightInd w:val="0"/>
        <w:snapToGrid w:val="0"/>
        <w:spacing w:before="0" w:beforeAutospacing="0" w:after="0" w:afterAutospacing="0" w:line="560" w:lineRule="exact"/>
        <w:ind w:firstLine="640" w:firstLineChars="200"/>
        <w:jc w:val="both"/>
        <w:rPr>
          <w:rFonts w:eastAsia="仿宋_GB2312"/>
          <w:bCs/>
          <w:color w:val="000000"/>
          <w:sz w:val="32"/>
          <w:szCs w:val="32"/>
        </w:rPr>
      </w:pPr>
      <w:r>
        <w:rPr>
          <w:rStyle w:val="10"/>
          <w:rFonts w:eastAsia="黑体"/>
          <w:b w:val="0"/>
          <w:bCs/>
          <w:color w:val="000000"/>
          <w:sz w:val="32"/>
          <w:szCs w:val="32"/>
        </w:rPr>
        <w:t>第二条</w:t>
      </w:r>
      <w:r>
        <w:rPr>
          <w:rStyle w:val="10"/>
          <w:rFonts w:eastAsia="黑体"/>
          <w:b w:val="0"/>
          <w:bCs/>
          <w:color w:val="000000"/>
          <w:sz w:val="32"/>
          <w:szCs w:val="32"/>
          <w:lang w:val="en"/>
        </w:rPr>
        <w:t xml:space="preserve">  </w:t>
      </w:r>
      <w:r>
        <w:rPr>
          <w:rFonts w:eastAsia="仿宋_GB2312"/>
          <w:bCs/>
          <w:color w:val="000000"/>
          <w:sz w:val="32"/>
          <w:szCs w:val="32"/>
        </w:rPr>
        <w:t>在中华人民共和国境内，持有人依法落实药品质量</w:t>
      </w:r>
      <w:r>
        <w:rPr>
          <w:rFonts w:hint="eastAsia" w:eastAsia="仿宋_GB2312"/>
          <w:bCs/>
          <w:color w:val="000000"/>
          <w:sz w:val="32"/>
          <w:szCs w:val="32"/>
        </w:rPr>
        <w:t>安全</w:t>
      </w:r>
      <w:r>
        <w:rPr>
          <w:rFonts w:eastAsia="仿宋_GB2312"/>
          <w:bCs/>
          <w:color w:val="000000"/>
          <w:sz w:val="32"/>
          <w:szCs w:val="32"/>
        </w:rPr>
        <w:t>主体责任行为及其监督管理，适用本规定。</w:t>
      </w:r>
    </w:p>
    <w:p>
      <w:pPr>
        <w:widowControl/>
        <w:shd w:val="clear" w:color="auto" w:fill="FFFFFF"/>
        <w:overflowPunct w:val="0"/>
        <w:adjustRightInd w:val="0"/>
        <w:snapToGrid w:val="0"/>
        <w:spacing w:line="560" w:lineRule="exact"/>
        <w:ind w:firstLine="640" w:firstLineChars="200"/>
        <w:rPr>
          <w:rStyle w:val="15"/>
          <w:rFonts w:hint="default" w:ascii="Times New Roman" w:hAnsi="Times New Roman" w:eastAsia="仿宋_GB2312"/>
          <w:bCs/>
        </w:rPr>
      </w:pPr>
      <w:r>
        <w:rPr>
          <w:rStyle w:val="10"/>
          <w:rFonts w:eastAsia="黑体"/>
          <w:b w:val="0"/>
          <w:bCs/>
          <w:color w:val="000000"/>
          <w:sz w:val="32"/>
          <w:szCs w:val="32"/>
        </w:rPr>
        <w:t>第三条</w:t>
      </w:r>
      <w:r>
        <w:rPr>
          <w:rStyle w:val="10"/>
          <w:rFonts w:eastAsia="黑体"/>
          <w:b w:val="0"/>
          <w:bCs/>
          <w:color w:val="000000"/>
          <w:sz w:val="32"/>
          <w:szCs w:val="32"/>
          <w:lang w:val="en"/>
        </w:rPr>
        <w:t xml:space="preserve">  </w:t>
      </w:r>
      <w:r>
        <w:rPr>
          <w:rFonts w:eastAsia="仿宋_GB2312"/>
          <w:color w:val="000000"/>
          <w:sz w:val="32"/>
          <w:szCs w:val="32"/>
        </w:rPr>
        <w:t>持有人</w:t>
      </w:r>
      <w:r>
        <w:rPr>
          <w:rStyle w:val="15"/>
          <w:rFonts w:hint="default" w:ascii="Times New Roman" w:hAnsi="Times New Roman" w:eastAsia="仿宋_GB2312"/>
          <w:bCs/>
          <w:color w:val="auto"/>
        </w:rPr>
        <w:t>应当遵守《</w:t>
      </w:r>
      <w:r>
        <w:rPr>
          <w:rFonts w:eastAsia="仿宋_GB2312"/>
          <w:bCs/>
          <w:color w:val="000000"/>
          <w:sz w:val="32"/>
          <w:szCs w:val="32"/>
        </w:rPr>
        <w:t>中华人民共和国</w:t>
      </w:r>
      <w:r>
        <w:rPr>
          <w:rStyle w:val="15"/>
          <w:rFonts w:hint="default" w:ascii="Times New Roman" w:hAnsi="Times New Roman" w:eastAsia="仿宋_GB2312"/>
          <w:bCs/>
          <w:color w:val="auto"/>
        </w:rPr>
        <w:t>药品管理法》等相关法律法规，按照药品非临床研究质量管理规范、</w:t>
      </w:r>
      <w:r>
        <w:fldChar w:fldCharType="begin"/>
      </w:r>
      <w:r>
        <w:instrText xml:space="preserve"> HYPERLINK "http://www.baidu.com/link?url=qakieW60Y-1y3s80ors5mvZKvqtpZArXJfxTSz06jjwOsFcgvR0BM1T9I27RlFY7Iuj8tE2Y5r-4fc1crQZ7K59uYegytMD9OLGeyMIEb3BaHjtNgmUqXKUE63cbmtsylsi-cV8Bo8ShkAq4bNLjKfj3efkb5HVlQ8r70T5gaQhQBh7YgKRwjc0tB5VX7Vp1" \t "/home/kylin/文档\x/_blank" </w:instrText>
      </w:r>
      <w:r>
        <w:fldChar w:fldCharType="separate"/>
      </w:r>
      <w:r>
        <w:rPr>
          <w:rStyle w:val="15"/>
          <w:rFonts w:hint="default" w:ascii="Times New Roman" w:hAnsi="Times New Roman" w:eastAsia="仿宋_GB2312"/>
          <w:bCs/>
          <w:color w:val="auto"/>
          <w:sz w:val="30"/>
          <w:szCs w:val="30"/>
        </w:rPr>
        <w:t>药品临床试验管理规范</w:t>
      </w:r>
      <w:r>
        <w:rPr>
          <w:rStyle w:val="15"/>
          <w:rFonts w:hint="default" w:ascii="Times New Roman" w:hAnsi="Times New Roman" w:eastAsia="仿宋_GB2312"/>
          <w:bCs/>
          <w:color w:val="auto"/>
          <w:sz w:val="30"/>
          <w:szCs w:val="30"/>
        </w:rPr>
        <w:fldChar w:fldCharType="end"/>
      </w:r>
      <w:r>
        <w:rPr>
          <w:rStyle w:val="15"/>
          <w:rFonts w:hint="default" w:ascii="Times New Roman" w:hAnsi="Times New Roman" w:eastAsia="仿宋_GB2312"/>
          <w:color w:val="auto"/>
        </w:rPr>
        <w:t>、</w:t>
      </w:r>
      <w:r>
        <w:rPr>
          <w:rStyle w:val="15"/>
          <w:rFonts w:hint="default" w:ascii="Times New Roman" w:hAnsi="Times New Roman" w:eastAsia="仿宋_GB2312"/>
          <w:bCs/>
          <w:color w:val="auto"/>
        </w:rPr>
        <w:t>药品生产质量管理规范、药品经营质量管理规范、药物警戒质量管理规范等要求，建</w:t>
      </w:r>
      <w:r>
        <w:rPr>
          <w:rStyle w:val="15"/>
          <w:rFonts w:hint="default" w:ascii="Times New Roman" w:hAnsi="Times New Roman" w:eastAsia="仿宋_GB2312"/>
          <w:bCs/>
        </w:rPr>
        <w:t>立健全药品质量管理体系，</w:t>
      </w:r>
      <w:r>
        <w:rPr>
          <w:rFonts w:eastAsia="仿宋_GB2312"/>
          <w:color w:val="000000"/>
          <w:sz w:val="32"/>
          <w:szCs w:val="32"/>
        </w:rPr>
        <w:t>依法对药品研制、生产、经营、使用全过程</w:t>
      </w:r>
      <w:r>
        <w:rPr>
          <w:rFonts w:hint="eastAsia" w:eastAsia="仿宋_GB2312"/>
          <w:color w:val="000000"/>
          <w:sz w:val="32"/>
          <w:szCs w:val="32"/>
        </w:rPr>
        <w:t>中药品</w:t>
      </w:r>
      <w:r>
        <w:rPr>
          <w:rFonts w:eastAsia="仿宋_GB2312"/>
          <w:color w:val="000000"/>
          <w:sz w:val="32"/>
          <w:szCs w:val="32"/>
        </w:rPr>
        <w:t>的安全性、有效性、质量可控性负责</w:t>
      </w:r>
      <w:r>
        <w:rPr>
          <w:rStyle w:val="15"/>
          <w:rFonts w:hint="default" w:ascii="Times New Roman" w:hAnsi="Times New Roman" w:eastAsia="仿宋_GB2312"/>
          <w:bCs/>
        </w:rPr>
        <w:t>。</w:t>
      </w:r>
    </w:p>
    <w:p>
      <w:pPr>
        <w:spacing w:line="560" w:lineRule="exact"/>
        <w:jc w:val="center"/>
        <w:rPr>
          <w:rFonts w:eastAsia="方正小标宋_GBK"/>
          <w:sz w:val="32"/>
          <w:szCs w:val="32"/>
        </w:rPr>
      </w:pPr>
    </w:p>
    <w:p>
      <w:pPr>
        <w:widowControl/>
        <w:spacing w:line="560" w:lineRule="exact"/>
        <w:jc w:val="center"/>
        <w:rPr>
          <w:rStyle w:val="15"/>
          <w:rFonts w:hint="default" w:ascii="Times New Roman" w:hAnsi="Times New Roman" w:eastAsia="仿宋_GB2312"/>
          <w:bCs/>
        </w:rPr>
      </w:pPr>
      <w:r>
        <w:rPr>
          <w:rFonts w:eastAsia="方正小标宋_GBK"/>
          <w:sz w:val="32"/>
          <w:szCs w:val="32"/>
        </w:rPr>
        <w:t>第</w:t>
      </w:r>
      <w:r>
        <w:rPr>
          <w:rFonts w:hint="eastAsia" w:eastAsia="方正小标宋_GBK"/>
          <w:sz w:val="32"/>
          <w:szCs w:val="32"/>
        </w:rPr>
        <w:t>二</w:t>
      </w:r>
      <w:r>
        <w:rPr>
          <w:rFonts w:eastAsia="方正小标宋_GBK"/>
          <w:sz w:val="32"/>
          <w:szCs w:val="32"/>
          <w:lang w:val="en"/>
        </w:rPr>
        <w:t xml:space="preserve">章  </w:t>
      </w:r>
      <w:r>
        <w:rPr>
          <w:rFonts w:hint="eastAsia" w:eastAsia="方正小标宋_GBK"/>
          <w:sz w:val="32"/>
          <w:szCs w:val="32"/>
        </w:rPr>
        <w:t>持有人关键岗位职责及要求</w:t>
      </w:r>
    </w:p>
    <w:p>
      <w:pPr>
        <w:pStyle w:val="7"/>
        <w:overflowPunct w:val="0"/>
        <w:adjustRightInd w:val="0"/>
        <w:snapToGrid w:val="0"/>
        <w:spacing w:before="0" w:beforeAutospacing="0" w:after="0" w:afterAutospacing="0" w:line="560" w:lineRule="exact"/>
        <w:ind w:firstLine="640" w:firstLineChars="200"/>
        <w:jc w:val="both"/>
        <w:rPr>
          <w:rFonts w:eastAsia="黑体"/>
          <w:bCs/>
          <w:color w:val="000000"/>
          <w:sz w:val="32"/>
          <w:szCs w:val="32"/>
        </w:rPr>
      </w:pPr>
      <w:r>
        <w:rPr>
          <w:rFonts w:eastAsia="黑体"/>
          <w:bCs/>
          <w:color w:val="000000"/>
          <w:sz w:val="32"/>
          <w:szCs w:val="32"/>
        </w:rPr>
        <w:t>第四条</w:t>
      </w:r>
      <w:r>
        <w:rPr>
          <w:rFonts w:eastAsia="黑体"/>
          <w:bCs/>
          <w:color w:val="000000"/>
          <w:sz w:val="32"/>
          <w:szCs w:val="32"/>
          <w:lang w:val="en"/>
        </w:rPr>
        <w:t xml:space="preserve">  </w:t>
      </w:r>
      <w:r>
        <w:rPr>
          <w:rFonts w:eastAsia="仿宋_GB2312"/>
          <w:color w:val="000000"/>
          <w:sz w:val="32"/>
          <w:szCs w:val="32"/>
        </w:rPr>
        <w:t>持有人应当设立职责清晰的管理部门，配备与药品生产经营规模相适应的管理人员，明确</w:t>
      </w:r>
      <w:r>
        <w:rPr>
          <w:rFonts w:hint="eastAsia" w:eastAsia="仿宋_GB2312"/>
          <w:color w:val="000000"/>
          <w:sz w:val="32"/>
          <w:szCs w:val="32"/>
        </w:rPr>
        <w:t>非临床研究、临床试验、生产销售、上市后研究、不良反应监测及报告</w:t>
      </w:r>
      <w:r>
        <w:rPr>
          <w:rFonts w:eastAsia="仿宋_GB2312"/>
          <w:color w:val="000000"/>
          <w:sz w:val="32"/>
          <w:szCs w:val="32"/>
        </w:rPr>
        <w:t>等职责，并符合相关质量管理规范的要求。</w:t>
      </w:r>
      <w:r>
        <w:rPr>
          <w:rFonts w:hint="eastAsia" w:eastAsia="仿宋_GB2312"/>
          <w:color w:val="000000"/>
          <w:sz w:val="32"/>
          <w:szCs w:val="32"/>
        </w:rPr>
        <w:t>持有人应当独立设置</w:t>
      </w:r>
      <w:r>
        <w:rPr>
          <w:rFonts w:eastAsia="仿宋_GB2312"/>
          <w:color w:val="000000"/>
          <w:sz w:val="32"/>
          <w:szCs w:val="32"/>
        </w:rPr>
        <w:t>质量管理部门，履行</w:t>
      </w:r>
      <w:r>
        <w:rPr>
          <w:rFonts w:hint="eastAsia" w:eastAsia="仿宋_GB2312"/>
          <w:color w:val="000000"/>
          <w:sz w:val="32"/>
          <w:szCs w:val="32"/>
        </w:rPr>
        <w:t>全过程</w:t>
      </w:r>
      <w:r>
        <w:rPr>
          <w:rFonts w:eastAsia="仿宋_GB2312"/>
          <w:color w:val="000000"/>
          <w:sz w:val="32"/>
          <w:szCs w:val="32"/>
        </w:rPr>
        <w:t>质量管理职责，参与所有与质量有关的活动，负责审核所有与质量管理有关的文件。</w:t>
      </w:r>
    </w:p>
    <w:p>
      <w:pPr>
        <w:pStyle w:val="7"/>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黑体"/>
          <w:bCs/>
          <w:color w:val="000000"/>
          <w:sz w:val="32"/>
          <w:szCs w:val="32"/>
        </w:rPr>
        <w:t>第五条</w:t>
      </w:r>
      <w:r>
        <w:rPr>
          <w:rFonts w:eastAsia="黑体"/>
          <w:bCs/>
          <w:color w:val="000000"/>
          <w:sz w:val="32"/>
          <w:szCs w:val="32"/>
          <w:lang w:val="en"/>
        </w:rPr>
        <w:t xml:space="preserve">  </w:t>
      </w:r>
      <w:r>
        <w:rPr>
          <w:rFonts w:eastAsia="仿宋_GB2312"/>
          <w:color w:val="000000"/>
          <w:sz w:val="32"/>
          <w:szCs w:val="32"/>
        </w:rPr>
        <w:t>持有人（包括药品生产企业）</w:t>
      </w:r>
      <w:r>
        <w:rPr>
          <w:rFonts w:hint="eastAsia" w:eastAsia="仿宋_GB2312"/>
          <w:color w:val="000000"/>
          <w:sz w:val="32"/>
          <w:szCs w:val="32"/>
        </w:rPr>
        <w:t>的</w:t>
      </w:r>
      <w:r>
        <w:rPr>
          <w:rFonts w:eastAsia="仿宋_GB2312"/>
          <w:color w:val="000000"/>
          <w:sz w:val="32"/>
          <w:szCs w:val="32"/>
        </w:rPr>
        <w:t>企业负责人（主要负责人）</w:t>
      </w:r>
      <w:r>
        <w:rPr>
          <w:rFonts w:hint="eastAsia" w:eastAsia="仿宋_GB2312"/>
          <w:color w:val="000000"/>
          <w:sz w:val="32"/>
          <w:szCs w:val="32"/>
        </w:rPr>
        <w:t>、</w:t>
      </w:r>
      <w:r>
        <w:rPr>
          <w:rFonts w:eastAsia="仿宋_GB2312"/>
          <w:color w:val="000000"/>
          <w:sz w:val="32"/>
          <w:szCs w:val="32"/>
        </w:rPr>
        <w:t>生产管理负责人（以下简称生产负责人）、质量管理负责人（以下简称质量负责人）、质量受权人等关键岗位人员应</w:t>
      </w:r>
      <w:r>
        <w:rPr>
          <w:rFonts w:hint="eastAsia" w:eastAsia="仿宋_GB2312"/>
          <w:color w:val="000000"/>
          <w:sz w:val="32"/>
          <w:szCs w:val="32"/>
        </w:rPr>
        <w:t>当</w:t>
      </w:r>
      <w:r>
        <w:rPr>
          <w:rFonts w:eastAsia="仿宋_GB2312"/>
          <w:color w:val="000000"/>
          <w:sz w:val="32"/>
          <w:szCs w:val="32"/>
        </w:rPr>
        <w:t>为企业全职人员，并符合相关质量管理规范有关要求。</w:t>
      </w:r>
      <w:r>
        <w:rPr>
          <w:rFonts w:hint="eastAsia" w:eastAsia="仿宋_GB2312"/>
          <w:color w:val="000000"/>
          <w:sz w:val="32"/>
          <w:szCs w:val="32"/>
        </w:rPr>
        <w:t>质量管理负责人和生产管理负责人不得互相兼任。</w:t>
      </w:r>
    </w:p>
    <w:p>
      <w:pPr>
        <w:pStyle w:val="7"/>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针对具体药品品种的生产和质量管理，持有人应当明确其直接负责的主管人员和其他责任人员。</w:t>
      </w:r>
    </w:p>
    <w:p>
      <w:pPr>
        <w:pStyle w:val="7"/>
        <w:shd w:val="clear" w:color="auto" w:fill="FFFFFF"/>
        <w:overflowPunct w:val="0"/>
        <w:adjustRightInd w:val="0"/>
        <w:snapToGrid w:val="0"/>
        <w:spacing w:before="0" w:beforeAutospacing="0" w:after="0" w:afterAutospacing="0" w:line="560" w:lineRule="exact"/>
        <w:ind w:firstLine="616" w:firstLineChars="200"/>
        <w:jc w:val="both"/>
        <w:rPr>
          <w:rFonts w:eastAsia="仿宋_GB2312"/>
          <w:color w:val="000000"/>
          <w:sz w:val="32"/>
          <w:szCs w:val="32"/>
        </w:rPr>
      </w:pPr>
      <w:r>
        <w:rPr>
          <w:rFonts w:eastAsia="黑体"/>
          <w:bCs/>
          <w:color w:val="000000"/>
          <w:spacing w:val="-6"/>
          <w:sz w:val="32"/>
          <w:szCs w:val="32"/>
        </w:rPr>
        <w:t>第六条</w:t>
      </w:r>
      <w:r>
        <w:rPr>
          <w:rFonts w:eastAsia="黑体"/>
          <w:bCs/>
          <w:color w:val="000000"/>
          <w:spacing w:val="-6"/>
          <w:sz w:val="32"/>
          <w:szCs w:val="32"/>
          <w:lang w:val="en"/>
        </w:rPr>
        <w:t xml:space="preserve">  </w:t>
      </w:r>
      <w:r>
        <w:rPr>
          <w:rFonts w:eastAsia="仿宋_GB2312"/>
          <w:color w:val="000000"/>
          <w:sz w:val="32"/>
          <w:szCs w:val="32"/>
        </w:rPr>
        <w:t>法定代表人、企业负责人（主要负责人）对药品质量全面负责。企业负责人全面负责企业日常管理，落实全过程质量</w:t>
      </w:r>
      <w:r>
        <w:rPr>
          <w:rFonts w:hint="eastAsia" w:eastAsia="仿宋_GB2312"/>
          <w:color w:val="000000"/>
          <w:sz w:val="32"/>
          <w:szCs w:val="32"/>
        </w:rPr>
        <w:t>管理</w:t>
      </w:r>
      <w:r>
        <w:rPr>
          <w:rFonts w:eastAsia="仿宋_GB2312"/>
          <w:color w:val="000000"/>
          <w:sz w:val="32"/>
          <w:szCs w:val="32"/>
        </w:rPr>
        <w:t>主体责任；负责配备专门质量负责人，提供必要的条件和资源，保证质量管理部门独立履行职责；负责配备专门质量受权人</w:t>
      </w:r>
      <w:r>
        <w:rPr>
          <w:rFonts w:hint="eastAsia" w:eastAsia="仿宋_GB2312"/>
          <w:color w:val="000000"/>
          <w:sz w:val="32"/>
          <w:szCs w:val="32"/>
        </w:rPr>
        <w:t>，保证</w:t>
      </w:r>
      <w:r>
        <w:rPr>
          <w:rFonts w:eastAsia="仿宋_GB2312"/>
          <w:color w:val="000000"/>
          <w:sz w:val="32"/>
          <w:szCs w:val="32"/>
        </w:rPr>
        <w:t>独立履行药品上市放行责任；负责处置与药品质量有关的重大安全事件，确保风险得到及时控制；</w:t>
      </w:r>
      <w:r>
        <w:rPr>
          <w:rFonts w:hint="eastAsia" w:eastAsia="仿宋_GB2312"/>
          <w:color w:val="000000"/>
          <w:sz w:val="32"/>
          <w:szCs w:val="32"/>
        </w:rPr>
        <w:t>负责</w:t>
      </w:r>
      <w:r>
        <w:rPr>
          <w:rFonts w:eastAsia="仿宋_GB2312"/>
          <w:color w:val="000000"/>
          <w:sz w:val="32"/>
          <w:szCs w:val="32"/>
        </w:rPr>
        <w:t>建立生产管理、质量管理的培训考核制度；负责配备或者指定药物警戒负责人。</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企业负责人应当具备医药相关领域工作经验，</w:t>
      </w:r>
      <w:r>
        <w:rPr>
          <w:rFonts w:hint="eastAsia" w:eastAsia="仿宋_GB2312"/>
          <w:color w:val="000000"/>
          <w:sz w:val="32"/>
          <w:szCs w:val="32"/>
        </w:rPr>
        <w:t>熟悉</w:t>
      </w:r>
      <w:r>
        <w:rPr>
          <w:rFonts w:eastAsia="仿宋_GB2312"/>
          <w:color w:val="000000"/>
          <w:sz w:val="32"/>
          <w:szCs w:val="32"/>
        </w:rPr>
        <w:t>药品监督管理相关法律法规</w:t>
      </w:r>
      <w:r>
        <w:rPr>
          <w:rFonts w:hint="eastAsia" w:eastAsia="仿宋_GB2312"/>
          <w:color w:val="000000"/>
          <w:sz w:val="32"/>
          <w:szCs w:val="32"/>
        </w:rPr>
        <w:t>和规章制度</w:t>
      </w:r>
      <w:r>
        <w:rPr>
          <w:rFonts w:eastAsia="仿宋_GB2312"/>
          <w:color w:val="000000"/>
          <w:sz w:val="32"/>
          <w:szCs w:val="32"/>
        </w:rPr>
        <w:t>。</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eastAsia="黑体"/>
          <w:bCs/>
          <w:color w:val="000000"/>
          <w:spacing w:val="-6"/>
          <w:sz w:val="32"/>
          <w:szCs w:val="32"/>
        </w:rPr>
        <w:t>第七条</w:t>
      </w:r>
      <w:r>
        <w:rPr>
          <w:rFonts w:eastAsia="黑体"/>
          <w:bCs/>
          <w:color w:val="000000"/>
          <w:spacing w:val="-6"/>
          <w:sz w:val="32"/>
          <w:szCs w:val="32"/>
          <w:lang w:val="en"/>
        </w:rPr>
        <w:t xml:space="preserve">  </w:t>
      </w:r>
      <w:r>
        <w:rPr>
          <w:rFonts w:eastAsia="仿宋_GB2312"/>
          <w:color w:val="000000"/>
          <w:spacing w:val="-6"/>
          <w:sz w:val="32"/>
          <w:szCs w:val="32"/>
        </w:rPr>
        <w:t>生产负责人主要负责</w:t>
      </w:r>
      <w:r>
        <w:rPr>
          <w:rFonts w:hint="eastAsia" w:eastAsia="仿宋_GB2312"/>
          <w:color w:val="000000"/>
          <w:spacing w:val="-6"/>
          <w:sz w:val="32"/>
          <w:szCs w:val="32"/>
        </w:rPr>
        <w:t>药品生产管理，</w:t>
      </w:r>
      <w:r>
        <w:rPr>
          <w:rFonts w:eastAsia="仿宋_GB2312"/>
          <w:color w:val="000000"/>
          <w:spacing w:val="-6"/>
          <w:sz w:val="32"/>
          <w:szCs w:val="32"/>
        </w:rPr>
        <w:t>确保</w:t>
      </w:r>
      <w:r>
        <w:rPr>
          <w:rFonts w:hint="eastAsia" w:eastAsia="仿宋_GB2312"/>
          <w:color w:val="000000"/>
          <w:spacing w:val="-6"/>
          <w:sz w:val="32"/>
          <w:szCs w:val="32"/>
        </w:rPr>
        <w:t>药品</w:t>
      </w:r>
      <w:r>
        <w:rPr>
          <w:rFonts w:eastAsia="仿宋_GB2312"/>
          <w:color w:val="000000"/>
          <w:spacing w:val="-6"/>
          <w:sz w:val="32"/>
          <w:szCs w:val="32"/>
        </w:rPr>
        <w:t>按照批准的工艺规程组织生产</w:t>
      </w:r>
      <w:r>
        <w:rPr>
          <w:rFonts w:hint="eastAsia" w:eastAsia="仿宋_GB2312"/>
          <w:color w:val="000000"/>
          <w:spacing w:val="-6"/>
          <w:sz w:val="32"/>
          <w:szCs w:val="32"/>
        </w:rPr>
        <w:t>、贮存；</w:t>
      </w:r>
      <w:r>
        <w:rPr>
          <w:rFonts w:eastAsia="仿宋_GB2312"/>
          <w:color w:val="000000"/>
          <w:spacing w:val="-6"/>
          <w:sz w:val="32"/>
          <w:szCs w:val="32"/>
        </w:rPr>
        <w:t>确保厂房和</w:t>
      </w:r>
      <w:r>
        <w:rPr>
          <w:rFonts w:hint="eastAsia" w:eastAsia="仿宋_GB2312"/>
          <w:color w:val="000000"/>
          <w:spacing w:val="-6"/>
          <w:sz w:val="32"/>
          <w:szCs w:val="32"/>
        </w:rPr>
        <w:t>设施设备</w:t>
      </w:r>
      <w:r>
        <w:rPr>
          <w:rFonts w:eastAsia="仿宋_GB2312"/>
          <w:color w:val="000000"/>
          <w:spacing w:val="-6"/>
          <w:sz w:val="32"/>
          <w:szCs w:val="32"/>
        </w:rPr>
        <w:t>良好运行，完成必要的验证工作，保证药品</w:t>
      </w:r>
      <w:r>
        <w:rPr>
          <w:rFonts w:hint="eastAsia" w:eastAsia="仿宋_GB2312"/>
          <w:color w:val="000000"/>
          <w:spacing w:val="-6"/>
          <w:sz w:val="32"/>
          <w:szCs w:val="32"/>
        </w:rPr>
        <w:t>生产</w:t>
      </w:r>
      <w:r>
        <w:rPr>
          <w:rFonts w:eastAsia="仿宋_GB2312"/>
          <w:color w:val="000000"/>
          <w:spacing w:val="-6"/>
          <w:sz w:val="32"/>
          <w:szCs w:val="32"/>
        </w:rPr>
        <w:t>质量</w:t>
      </w:r>
      <w:r>
        <w:rPr>
          <w:rFonts w:hint="eastAsia" w:eastAsia="仿宋_GB2312"/>
          <w:color w:val="000000"/>
          <w:spacing w:val="-6"/>
          <w:sz w:val="32"/>
          <w:szCs w:val="32"/>
        </w:rPr>
        <w:t>；确保生产管理培训制度有效运行，对药品生产管理所有人员开展培训和考核。</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eastAsia="仿宋_GB2312"/>
          <w:color w:val="000000"/>
          <w:spacing w:val="-6"/>
          <w:sz w:val="32"/>
          <w:szCs w:val="32"/>
        </w:rPr>
        <w:t>生产负责人应当具有</w:t>
      </w:r>
      <w:r>
        <w:rPr>
          <w:rFonts w:hint="eastAsia" w:eastAsia="仿宋_GB2312"/>
          <w:color w:val="000000"/>
          <w:spacing w:val="-6"/>
          <w:sz w:val="32"/>
          <w:szCs w:val="32"/>
        </w:rPr>
        <w:t>：</w:t>
      </w:r>
      <w:r>
        <w:rPr>
          <w:rFonts w:eastAsia="仿宋_GB2312"/>
          <w:color w:val="000000"/>
          <w:spacing w:val="-6"/>
          <w:sz w:val="32"/>
          <w:szCs w:val="32"/>
        </w:rPr>
        <w:t>药学或</w:t>
      </w:r>
      <w:r>
        <w:rPr>
          <w:rFonts w:hint="eastAsia" w:eastAsia="仿宋_GB2312"/>
          <w:color w:val="000000"/>
          <w:spacing w:val="-6"/>
          <w:sz w:val="32"/>
          <w:szCs w:val="32"/>
        </w:rPr>
        <w:t>者</w:t>
      </w:r>
      <w:r>
        <w:rPr>
          <w:rFonts w:eastAsia="仿宋_GB2312"/>
          <w:color w:val="000000"/>
          <w:spacing w:val="-6"/>
          <w:sz w:val="32"/>
          <w:szCs w:val="32"/>
        </w:rPr>
        <w:t>相关专业背景，本科及以上学历或</w:t>
      </w:r>
      <w:r>
        <w:rPr>
          <w:rFonts w:hint="eastAsia" w:eastAsia="仿宋_GB2312"/>
          <w:color w:val="000000"/>
          <w:spacing w:val="-6"/>
          <w:sz w:val="32"/>
          <w:szCs w:val="32"/>
        </w:rPr>
        <w:t>者</w:t>
      </w:r>
      <w:r>
        <w:rPr>
          <w:rFonts w:eastAsia="仿宋_GB2312"/>
          <w:color w:val="000000"/>
          <w:spacing w:val="-6"/>
          <w:sz w:val="32"/>
          <w:szCs w:val="32"/>
        </w:rPr>
        <w:t>中级以上专业技术职称或</w:t>
      </w:r>
      <w:r>
        <w:rPr>
          <w:rFonts w:hint="eastAsia" w:eastAsia="仿宋_GB2312"/>
          <w:color w:val="000000"/>
          <w:spacing w:val="-6"/>
          <w:sz w:val="32"/>
          <w:szCs w:val="32"/>
        </w:rPr>
        <w:t>者</w:t>
      </w:r>
      <w:r>
        <w:rPr>
          <w:rFonts w:eastAsia="仿宋_GB2312"/>
          <w:color w:val="000000"/>
          <w:spacing w:val="-6"/>
          <w:sz w:val="32"/>
          <w:szCs w:val="32"/>
        </w:rPr>
        <w:t>执业药师资格，三年以上从事药品生产和质量管理的实践经验，其中至少有一年的药品生产管理经验，</w:t>
      </w:r>
      <w:r>
        <w:rPr>
          <w:rFonts w:hint="eastAsia" w:eastAsia="仿宋_GB2312"/>
          <w:color w:val="000000"/>
          <w:spacing w:val="-6"/>
          <w:sz w:val="32"/>
          <w:szCs w:val="32"/>
        </w:rPr>
        <w:t>熟悉药品生产管理相关法律法规和规章制度</w:t>
      </w:r>
      <w:r>
        <w:rPr>
          <w:rFonts w:eastAsia="仿宋_GB2312"/>
          <w:color w:val="000000"/>
          <w:spacing w:val="-6"/>
          <w:sz w:val="32"/>
          <w:szCs w:val="32"/>
        </w:rPr>
        <w:t>。</w:t>
      </w:r>
    </w:p>
    <w:p>
      <w:pPr>
        <w:pStyle w:val="7"/>
        <w:overflowPunct w:val="0"/>
        <w:adjustRightInd w:val="0"/>
        <w:snapToGrid w:val="0"/>
        <w:spacing w:before="0" w:beforeAutospacing="0" w:after="0" w:afterAutospacing="0" w:line="560" w:lineRule="exact"/>
        <w:ind w:firstLine="616" w:firstLineChars="200"/>
        <w:jc w:val="both"/>
        <w:rPr>
          <w:rStyle w:val="15"/>
          <w:rFonts w:hint="default" w:ascii="Times New Roman" w:hAnsi="Times New Roman" w:eastAsia="仿宋_GB2312"/>
          <w:bCs/>
        </w:rPr>
      </w:pPr>
      <w:r>
        <w:rPr>
          <w:rFonts w:eastAsia="黑体"/>
          <w:bCs/>
          <w:color w:val="000000"/>
          <w:spacing w:val="-6"/>
          <w:sz w:val="32"/>
          <w:szCs w:val="32"/>
        </w:rPr>
        <w:t>第八条</w:t>
      </w:r>
      <w:r>
        <w:rPr>
          <w:rFonts w:eastAsia="黑体"/>
          <w:bCs/>
          <w:color w:val="000000"/>
          <w:spacing w:val="-6"/>
          <w:sz w:val="32"/>
          <w:szCs w:val="32"/>
          <w:lang w:val="en"/>
        </w:rPr>
        <w:t xml:space="preserve">  </w:t>
      </w:r>
      <w:r>
        <w:rPr>
          <w:rFonts w:eastAsia="仿宋_GB2312"/>
          <w:color w:val="000000"/>
          <w:spacing w:val="-6"/>
          <w:sz w:val="32"/>
          <w:szCs w:val="32"/>
        </w:rPr>
        <w:t>质量负责人</w:t>
      </w:r>
      <w:r>
        <w:rPr>
          <w:rFonts w:eastAsia="仿宋_GB2312"/>
          <w:color w:val="000000"/>
          <w:spacing w:val="-6"/>
          <w:sz w:val="32"/>
          <w:szCs w:val="32"/>
          <w:lang w:val="en"/>
        </w:rPr>
        <w:t>负责药品质量管理，</w:t>
      </w:r>
      <w:r>
        <w:rPr>
          <w:rFonts w:eastAsia="仿宋_GB2312"/>
          <w:color w:val="000000"/>
          <w:spacing w:val="-6"/>
          <w:sz w:val="32"/>
          <w:szCs w:val="32"/>
        </w:rPr>
        <w:t>建立质量控制和质量保证体系，</w:t>
      </w:r>
      <w:r>
        <w:rPr>
          <w:rFonts w:eastAsia="仿宋_GB2312"/>
          <w:color w:val="000000"/>
          <w:spacing w:val="-6"/>
          <w:sz w:val="32"/>
          <w:szCs w:val="32"/>
          <w:lang w:val="en"/>
        </w:rPr>
        <w:t>监督相关质量管理规范执行，确保质量管理体系有效运行；确保生产过程控制和药品质量控制符合相关法规要求、标准要求；确保</w:t>
      </w:r>
      <w:r>
        <w:rPr>
          <w:rStyle w:val="15"/>
          <w:rFonts w:hint="default" w:ascii="Times New Roman" w:hAnsi="Times New Roman" w:eastAsia="仿宋_GB2312"/>
          <w:bCs/>
        </w:rPr>
        <w:t>药品生产、检验等数据和记录真实、准确、完整</w:t>
      </w:r>
      <w:r>
        <w:rPr>
          <w:rStyle w:val="15"/>
          <w:rFonts w:hint="default" w:ascii="Times New Roman" w:hAnsi="Times New Roman" w:eastAsia="仿宋_GB2312"/>
          <w:bCs/>
          <w:lang w:val="en"/>
        </w:rPr>
        <w:t>和</w:t>
      </w:r>
      <w:r>
        <w:rPr>
          <w:rStyle w:val="15"/>
          <w:rFonts w:hint="default" w:ascii="Times New Roman" w:hAnsi="Times New Roman" w:eastAsia="仿宋_GB2312"/>
          <w:bCs/>
        </w:rPr>
        <w:t>可追溯；</w:t>
      </w:r>
      <w:r>
        <w:rPr>
          <w:rFonts w:hint="eastAsia" w:eastAsia="仿宋_GB2312"/>
          <w:color w:val="000000"/>
          <w:spacing w:val="-6"/>
          <w:sz w:val="32"/>
          <w:szCs w:val="32"/>
        </w:rPr>
        <w:t>确保质量管理培训制度有效运行，对药品质量管理所有人员开展培训和考核。</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eastAsia="仿宋_GB2312"/>
          <w:color w:val="000000"/>
          <w:spacing w:val="-6"/>
          <w:sz w:val="32"/>
          <w:szCs w:val="32"/>
        </w:rPr>
        <w:t>质量负责人应当具有</w:t>
      </w:r>
      <w:r>
        <w:rPr>
          <w:rFonts w:hint="eastAsia" w:eastAsia="仿宋_GB2312"/>
          <w:color w:val="000000"/>
          <w:spacing w:val="-6"/>
          <w:sz w:val="32"/>
          <w:szCs w:val="32"/>
        </w:rPr>
        <w:t>：</w:t>
      </w:r>
      <w:r>
        <w:rPr>
          <w:rFonts w:eastAsia="仿宋_GB2312"/>
          <w:color w:val="000000"/>
          <w:spacing w:val="-6"/>
          <w:sz w:val="32"/>
          <w:szCs w:val="32"/>
        </w:rPr>
        <w:t>药学或</w:t>
      </w:r>
      <w:r>
        <w:rPr>
          <w:rFonts w:hint="eastAsia" w:eastAsia="仿宋_GB2312"/>
          <w:color w:val="000000"/>
          <w:spacing w:val="-6"/>
          <w:sz w:val="32"/>
          <w:szCs w:val="32"/>
        </w:rPr>
        <w:t>者</w:t>
      </w:r>
      <w:r>
        <w:rPr>
          <w:rFonts w:eastAsia="仿宋_GB2312"/>
          <w:color w:val="000000"/>
          <w:spacing w:val="-6"/>
          <w:sz w:val="32"/>
          <w:szCs w:val="32"/>
        </w:rPr>
        <w:t>相关专业背景，本科及以上学历或</w:t>
      </w:r>
      <w:r>
        <w:rPr>
          <w:rFonts w:hint="eastAsia" w:eastAsia="仿宋_GB2312"/>
          <w:color w:val="000000"/>
          <w:spacing w:val="-6"/>
          <w:sz w:val="32"/>
          <w:szCs w:val="32"/>
        </w:rPr>
        <w:t>者</w:t>
      </w:r>
      <w:r>
        <w:rPr>
          <w:rFonts w:eastAsia="仿宋_GB2312"/>
          <w:color w:val="000000"/>
          <w:spacing w:val="-6"/>
          <w:sz w:val="32"/>
          <w:szCs w:val="32"/>
        </w:rPr>
        <w:t>中级以上专业技术职称或</w:t>
      </w:r>
      <w:r>
        <w:rPr>
          <w:rFonts w:hint="eastAsia" w:eastAsia="仿宋_GB2312"/>
          <w:color w:val="000000"/>
          <w:spacing w:val="-6"/>
          <w:sz w:val="32"/>
          <w:szCs w:val="32"/>
        </w:rPr>
        <w:t>者</w:t>
      </w:r>
      <w:r>
        <w:rPr>
          <w:rFonts w:eastAsia="仿宋_GB2312"/>
          <w:color w:val="000000"/>
          <w:spacing w:val="-6"/>
          <w:sz w:val="32"/>
          <w:szCs w:val="32"/>
        </w:rPr>
        <w:t>执业药师资格，五年以上从事药品生产和质量管理的实践经验，其中至少一年的药品质量管理经验，</w:t>
      </w:r>
      <w:r>
        <w:rPr>
          <w:rFonts w:hint="eastAsia" w:eastAsia="仿宋_GB2312"/>
          <w:color w:val="000000"/>
          <w:spacing w:val="-6"/>
          <w:sz w:val="32"/>
          <w:szCs w:val="32"/>
        </w:rPr>
        <w:t>熟悉药品质量管理相关法律法规和规章制度</w:t>
      </w:r>
      <w:r>
        <w:rPr>
          <w:rFonts w:eastAsia="仿宋_GB2312"/>
          <w:color w:val="000000"/>
          <w:spacing w:val="-6"/>
          <w:sz w:val="32"/>
          <w:szCs w:val="32"/>
        </w:rPr>
        <w:t>。</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eastAsia="黑体"/>
          <w:bCs/>
          <w:color w:val="000000"/>
          <w:spacing w:val="-6"/>
          <w:sz w:val="32"/>
          <w:szCs w:val="32"/>
        </w:rPr>
        <w:t>第九条</w:t>
      </w:r>
      <w:r>
        <w:rPr>
          <w:rFonts w:eastAsia="仿宋_GB2312"/>
          <w:color w:val="000000"/>
          <w:spacing w:val="-6"/>
          <w:sz w:val="32"/>
          <w:szCs w:val="32"/>
        </w:rPr>
        <w:t>　质量受权人独立履行药品放行职责，确保每批已放行药品的生产、检验均符合相关法规</w:t>
      </w:r>
      <w:r>
        <w:rPr>
          <w:rFonts w:hint="eastAsia" w:eastAsia="仿宋_GB2312"/>
          <w:color w:val="000000"/>
          <w:spacing w:val="-6"/>
          <w:sz w:val="32"/>
          <w:szCs w:val="32"/>
        </w:rPr>
        <w:t>、</w:t>
      </w:r>
      <w:r>
        <w:rPr>
          <w:rFonts w:eastAsia="仿宋_GB2312"/>
          <w:color w:val="000000"/>
          <w:spacing w:val="-6"/>
          <w:sz w:val="32"/>
          <w:szCs w:val="32"/>
        </w:rPr>
        <w:t>药品注册管理要求和质量标准。未经质量受权人签字同意，产品不得放行。</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eastAsia="仿宋_GB2312"/>
          <w:color w:val="000000"/>
          <w:spacing w:val="-6"/>
          <w:sz w:val="32"/>
          <w:szCs w:val="32"/>
        </w:rPr>
        <w:t>质量受权人应当具有</w:t>
      </w:r>
      <w:r>
        <w:rPr>
          <w:rFonts w:hint="eastAsia" w:eastAsia="仿宋_GB2312"/>
          <w:color w:val="000000"/>
          <w:spacing w:val="-6"/>
          <w:sz w:val="32"/>
          <w:szCs w:val="32"/>
        </w:rPr>
        <w:t>：</w:t>
      </w:r>
      <w:r>
        <w:rPr>
          <w:rFonts w:eastAsia="仿宋_GB2312"/>
          <w:color w:val="000000"/>
          <w:spacing w:val="-6"/>
          <w:sz w:val="32"/>
          <w:szCs w:val="32"/>
        </w:rPr>
        <w:t>药学或</w:t>
      </w:r>
      <w:r>
        <w:rPr>
          <w:rFonts w:hint="eastAsia" w:eastAsia="仿宋_GB2312"/>
          <w:color w:val="000000"/>
          <w:spacing w:val="-6"/>
          <w:sz w:val="32"/>
          <w:szCs w:val="32"/>
        </w:rPr>
        <w:t>者</w:t>
      </w:r>
      <w:r>
        <w:rPr>
          <w:rFonts w:eastAsia="仿宋_GB2312"/>
          <w:color w:val="000000"/>
          <w:spacing w:val="-6"/>
          <w:sz w:val="32"/>
          <w:szCs w:val="32"/>
        </w:rPr>
        <w:t>相关专业背景，本科及以上学历或</w:t>
      </w:r>
      <w:r>
        <w:rPr>
          <w:rFonts w:hint="eastAsia" w:eastAsia="仿宋_GB2312"/>
          <w:color w:val="000000"/>
          <w:spacing w:val="-6"/>
          <w:sz w:val="32"/>
          <w:szCs w:val="32"/>
        </w:rPr>
        <w:t>者</w:t>
      </w:r>
      <w:r>
        <w:rPr>
          <w:rFonts w:eastAsia="仿宋_GB2312"/>
          <w:color w:val="000000"/>
          <w:spacing w:val="-6"/>
          <w:sz w:val="32"/>
          <w:szCs w:val="32"/>
        </w:rPr>
        <w:t>中级以上专业技术职称或</w:t>
      </w:r>
      <w:r>
        <w:rPr>
          <w:rFonts w:hint="eastAsia" w:eastAsia="仿宋_GB2312"/>
          <w:color w:val="000000"/>
          <w:spacing w:val="-6"/>
          <w:sz w:val="32"/>
          <w:szCs w:val="32"/>
        </w:rPr>
        <w:t>者</w:t>
      </w:r>
      <w:r>
        <w:rPr>
          <w:rFonts w:eastAsia="仿宋_GB2312"/>
          <w:color w:val="000000"/>
          <w:spacing w:val="-6"/>
          <w:sz w:val="32"/>
          <w:szCs w:val="32"/>
        </w:rPr>
        <w:t>执业药师资格，五年以上从事药品生产和质量管理的实践经验，从事过药品生产过程控制和质量检验工作，</w:t>
      </w:r>
      <w:r>
        <w:rPr>
          <w:rFonts w:hint="eastAsia" w:eastAsia="仿宋_GB2312"/>
          <w:color w:val="000000"/>
          <w:spacing w:val="-6"/>
          <w:sz w:val="32"/>
          <w:szCs w:val="32"/>
        </w:rPr>
        <w:t>熟悉药品监督管理相关法律法规和规章制度</w:t>
      </w:r>
      <w:r>
        <w:rPr>
          <w:rFonts w:eastAsia="仿宋_GB2312"/>
          <w:color w:val="000000"/>
          <w:spacing w:val="-6"/>
          <w:sz w:val="32"/>
          <w:szCs w:val="32"/>
        </w:rPr>
        <w:t>。</w:t>
      </w:r>
    </w:p>
    <w:p>
      <w:pPr>
        <w:pStyle w:val="7"/>
        <w:overflowPunct w:val="0"/>
        <w:adjustRightInd w:val="0"/>
        <w:snapToGrid w:val="0"/>
        <w:spacing w:before="0" w:beforeAutospacing="0" w:after="0" w:afterAutospacing="0" w:line="560" w:lineRule="exact"/>
        <w:ind w:firstLine="616" w:firstLineChars="200"/>
        <w:jc w:val="both"/>
        <w:rPr>
          <w:rFonts w:eastAsia="仿宋_GB2312"/>
          <w:color w:val="000000"/>
          <w:spacing w:val="-6"/>
          <w:sz w:val="32"/>
          <w:szCs w:val="32"/>
        </w:rPr>
      </w:pPr>
      <w:r>
        <w:rPr>
          <w:rFonts w:hint="eastAsia" w:eastAsia="仿宋_GB2312"/>
          <w:color w:val="000000"/>
          <w:spacing w:val="-6"/>
          <w:sz w:val="32"/>
          <w:szCs w:val="32"/>
        </w:rPr>
        <w:t>持有人可以依据企业规模设置多个质量受权人，覆盖企业所有产品的放行职责。各质量受权人应当分工明确、不得交叉。质量受权人因故不在岗时，经</w:t>
      </w:r>
      <w:r>
        <w:rPr>
          <w:rFonts w:eastAsia="仿宋_GB2312"/>
          <w:color w:val="000000"/>
          <w:sz w:val="32"/>
          <w:szCs w:val="32"/>
          <w:shd w:val="clear" w:color="auto" w:fill="FFFFFF"/>
        </w:rPr>
        <w:t>企业法定代表人或者企业负责人批准后</w:t>
      </w:r>
      <w:r>
        <w:rPr>
          <w:rFonts w:hint="eastAsia" w:eastAsia="仿宋_GB2312"/>
          <w:color w:val="000000"/>
          <w:sz w:val="32"/>
          <w:szCs w:val="32"/>
          <w:shd w:val="clear" w:color="auto" w:fill="FFFFFF"/>
        </w:rPr>
        <w:t>，</w:t>
      </w:r>
      <w:r>
        <w:rPr>
          <w:rFonts w:hint="eastAsia" w:eastAsia="仿宋_GB2312"/>
          <w:color w:val="000000"/>
          <w:spacing w:val="-6"/>
          <w:sz w:val="32"/>
          <w:szCs w:val="32"/>
        </w:rPr>
        <w:t>可以将其职责临时转授其他质量受权人或者具有相关资质的人员，并以书面形式规定转授权范围、事项及时限。转授权期间，原质量受权人仍须承担相应责任。</w:t>
      </w:r>
    </w:p>
    <w:p>
      <w:pPr>
        <w:pStyle w:val="12"/>
        <w:tabs>
          <w:tab w:val="left" w:pos="1134"/>
        </w:tabs>
        <w:overflowPunct w:val="0"/>
        <w:adjustRightInd w:val="0"/>
        <w:snapToGrid w:val="0"/>
        <w:spacing w:line="560" w:lineRule="exact"/>
        <w:ind w:firstLine="640"/>
        <w:rPr>
          <w:rFonts w:eastAsia="仿宋_GB2312"/>
          <w:color w:val="000000"/>
          <w:sz w:val="32"/>
          <w:szCs w:val="32"/>
        </w:rPr>
      </w:pPr>
      <w:r>
        <w:rPr>
          <w:rFonts w:eastAsia="黑体"/>
          <w:bCs/>
          <w:color w:val="000000"/>
          <w:sz w:val="32"/>
          <w:szCs w:val="32"/>
        </w:rPr>
        <w:t>第十条</w:t>
      </w:r>
      <w:r>
        <w:rPr>
          <w:rFonts w:eastAsia="黑体"/>
          <w:bCs/>
          <w:color w:val="000000"/>
          <w:sz w:val="32"/>
          <w:szCs w:val="32"/>
          <w:lang w:val="en"/>
        </w:rPr>
        <w:t xml:space="preserve">  </w:t>
      </w:r>
      <w:r>
        <w:rPr>
          <w:rFonts w:eastAsia="仿宋_GB2312"/>
          <w:color w:val="000000"/>
          <w:sz w:val="32"/>
          <w:szCs w:val="32"/>
        </w:rPr>
        <w:t>药物警戒负责人负责药物警戒体系的</w:t>
      </w:r>
      <w:r>
        <w:rPr>
          <w:rFonts w:hint="eastAsia" w:eastAsia="仿宋_GB2312"/>
          <w:color w:val="000000"/>
          <w:sz w:val="32"/>
          <w:szCs w:val="32"/>
        </w:rPr>
        <w:t>建立、</w:t>
      </w:r>
      <w:r>
        <w:rPr>
          <w:rFonts w:eastAsia="仿宋_GB2312"/>
          <w:color w:val="000000"/>
          <w:sz w:val="32"/>
          <w:szCs w:val="32"/>
        </w:rPr>
        <w:t>运行和持续改进，确保药物警戒体系符合相关法律法规和</w:t>
      </w:r>
      <w:r>
        <w:rPr>
          <w:rFonts w:hint="eastAsia" w:eastAsia="仿宋_GB2312"/>
          <w:color w:val="000000"/>
          <w:sz w:val="32"/>
          <w:szCs w:val="32"/>
        </w:rPr>
        <w:t>药物警戒质量管理</w:t>
      </w:r>
      <w:r>
        <w:rPr>
          <w:rFonts w:eastAsia="仿宋_GB2312"/>
          <w:color w:val="000000"/>
          <w:sz w:val="32"/>
          <w:szCs w:val="32"/>
        </w:rPr>
        <w:t>规范的要求。</w:t>
      </w:r>
    </w:p>
    <w:p>
      <w:pPr>
        <w:pStyle w:val="12"/>
        <w:tabs>
          <w:tab w:val="left" w:pos="1134"/>
        </w:tabs>
        <w:overflowPunct w:val="0"/>
        <w:adjustRightInd w:val="0"/>
        <w:snapToGrid w:val="0"/>
        <w:spacing w:line="560" w:lineRule="exact"/>
        <w:ind w:firstLine="640"/>
        <w:rPr>
          <w:rFonts w:eastAsia="仿宋_GB2312"/>
          <w:color w:val="000000"/>
          <w:sz w:val="32"/>
          <w:szCs w:val="32"/>
        </w:rPr>
      </w:pPr>
      <w:r>
        <w:rPr>
          <w:rFonts w:eastAsia="仿宋_GB2312"/>
          <w:color w:val="000000"/>
          <w:sz w:val="32"/>
          <w:szCs w:val="32"/>
        </w:rPr>
        <w:t>药物警戒负责人应当是具备一定职务的管理人员，应当具有</w:t>
      </w:r>
      <w:r>
        <w:rPr>
          <w:rFonts w:hint="eastAsia" w:eastAsia="仿宋_GB2312"/>
          <w:color w:val="000000"/>
          <w:sz w:val="32"/>
          <w:szCs w:val="32"/>
        </w:rPr>
        <w:t>：</w:t>
      </w:r>
      <w:r>
        <w:rPr>
          <w:rFonts w:eastAsia="仿宋_GB2312"/>
          <w:color w:val="000000"/>
          <w:sz w:val="32"/>
          <w:szCs w:val="32"/>
        </w:rPr>
        <w:t>医学、药学、流行病学或</w:t>
      </w:r>
      <w:r>
        <w:rPr>
          <w:rFonts w:hint="eastAsia" w:eastAsia="仿宋_GB2312"/>
          <w:color w:val="000000"/>
          <w:sz w:val="32"/>
          <w:szCs w:val="32"/>
        </w:rPr>
        <w:t>者</w:t>
      </w:r>
      <w:r>
        <w:rPr>
          <w:rFonts w:eastAsia="仿宋_GB2312"/>
          <w:color w:val="000000"/>
          <w:sz w:val="32"/>
          <w:szCs w:val="32"/>
        </w:rPr>
        <w:t>相关专业背景，本科及以上学历或</w:t>
      </w:r>
      <w:r>
        <w:rPr>
          <w:rFonts w:hint="eastAsia" w:eastAsia="仿宋_GB2312"/>
          <w:color w:val="000000"/>
          <w:sz w:val="32"/>
          <w:szCs w:val="32"/>
        </w:rPr>
        <w:t>者</w:t>
      </w:r>
      <w:r>
        <w:rPr>
          <w:rFonts w:eastAsia="仿宋_GB2312"/>
          <w:color w:val="000000"/>
          <w:sz w:val="32"/>
          <w:szCs w:val="32"/>
        </w:rPr>
        <w:t>中级及以上专业技术职称，三年以上从事药物警戒相关工作经历，熟悉我国药物警戒相关法律法规和技术指导原则，具备药物警戒管理工作的知识和技能。</w:t>
      </w:r>
    </w:p>
    <w:p>
      <w:pPr>
        <w:overflowPunct w:val="0"/>
        <w:adjustRightInd w:val="0"/>
        <w:snapToGrid w:val="0"/>
        <w:spacing w:line="560" w:lineRule="exact"/>
        <w:ind w:firstLine="640" w:firstLineChars="200"/>
        <w:rPr>
          <w:rFonts w:eastAsia="黑体"/>
          <w:bCs/>
          <w:color w:val="000000"/>
          <w:sz w:val="32"/>
          <w:szCs w:val="32"/>
        </w:rPr>
      </w:pPr>
    </w:p>
    <w:p>
      <w:pPr>
        <w:widowControl/>
        <w:spacing w:line="560" w:lineRule="exact"/>
        <w:jc w:val="center"/>
        <w:rPr>
          <w:rStyle w:val="15"/>
          <w:rFonts w:hint="default" w:ascii="Times New Roman" w:hAnsi="Times New Roman" w:eastAsia="仿宋_GB2312"/>
          <w:bCs/>
        </w:rPr>
      </w:pPr>
      <w:r>
        <w:rPr>
          <w:rFonts w:eastAsia="方正小标宋_GBK"/>
          <w:sz w:val="32"/>
          <w:szCs w:val="32"/>
        </w:rPr>
        <w:t>第</w:t>
      </w:r>
      <w:r>
        <w:rPr>
          <w:rFonts w:hint="eastAsia" w:eastAsia="方正小标宋_GBK"/>
          <w:sz w:val="32"/>
          <w:szCs w:val="32"/>
        </w:rPr>
        <w:t>三</w:t>
      </w:r>
      <w:r>
        <w:rPr>
          <w:rFonts w:eastAsia="方正小标宋_GBK"/>
          <w:sz w:val="32"/>
          <w:szCs w:val="32"/>
          <w:lang w:val="en"/>
        </w:rPr>
        <w:t xml:space="preserve">章  </w:t>
      </w:r>
      <w:r>
        <w:rPr>
          <w:rFonts w:hint="eastAsia" w:eastAsia="方正小标宋_GBK"/>
          <w:sz w:val="32"/>
          <w:szCs w:val="32"/>
        </w:rPr>
        <w:t>持有人质量管理要求</w:t>
      </w:r>
    </w:p>
    <w:p>
      <w:pPr>
        <w:overflowPunct w:val="0"/>
        <w:adjustRightInd w:val="0"/>
        <w:snapToGrid w:val="0"/>
        <w:spacing w:line="560" w:lineRule="exact"/>
        <w:ind w:firstLine="640" w:firstLineChars="200"/>
        <w:rPr>
          <w:rStyle w:val="15"/>
          <w:rFonts w:hint="default" w:ascii="Times New Roman" w:hAnsi="Times New Roman" w:eastAsia="仿宋_GB2312"/>
          <w:bCs/>
        </w:rPr>
      </w:pPr>
      <w:r>
        <w:rPr>
          <w:rFonts w:eastAsia="黑体"/>
          <w:bCs/>
          <w:color w:val="000000"/>
          <w:sz w:val="32"/>
          <w:szCs w:val="32"/>
        </w:rPr>
        <w:t>第十一条</w:t>
      </w:r>
      <w:r>
        <w:rPr>
          <w:rFonts w:eastAsia="黑体"/>
          <w:bCs/>
          <w:color w:val="000000"/>
          <w:sz w:val="32"/>
          <w:szCs w:val="32"/>
          <w:lang w:val="en"/>
        </w:rPr>
        <w:t xml:space="preserve">  </w:t>
      </w:r>
      <w:r>
        <w:rPr>
          <w:rStyle w:val="15"/>
          <w:rFonts w:hint="default" w:ascii="Times New Roman" w:hAnsi="Times New Roman" w:eastAsia="仿宋_GB2312"/>
          <w:bCs/>
        </w:rPr>
        <w:t>持有人</w:t>
      </w:r>
      <w:r>
        <w:rPr>
          <w:rFonts w:eastAsia="仿宋_GB2312"/>
          <w:color w:val="000000"/>
          <w:sz w:val="32"/>
          <w:szCs w:val="32"/>
        </w:rPr>
        <w:t>应当建立覆盖药品生产全过程的质量管理体系，</w:t>
      </w:r>
      <w:r>
        <w:rPr>
          <w:rStyle w:val="15"/>
          <w:rFonts w:hint="default" w:ascii="Times New Roman" w:hAnsi="Times New Roman" w:eastAsia="仿宋_GB2312"/>
          <w:bCs/>
        </w:rPr>
        <w:t>按照国家药品标准、经药品监督管理部门核准的质量标准和生产工艺进行生产，确保药品生产全过程持续符合药品生产质量管理规范要求。</w:t>
      </w:r>
    </w:p>
    <w:p>
      <w:pPr>
        <w:overflowPunct w:val="0"/>
        <w:adjustRightInd w:val="0"/>
        <w:snapToGrid w:val="0"/>
        <w:spacing w:line="560" w:lineRule="exact"/>
        <w:ind w:firstLine="640" w:firstLineChars="200"/>
        <w:rPr>
          <w:rFonts w:eastAsia="仿宋_GB2312"/>
          <w:color w:val="000000"/>
          <w:sz w:val="32"/>
          <w:szCs w:val="32"/>
        </w:rPr>
      </w:pPr>
      <w:r>
        <w:rPr>
          <w:rFonts w:eastAsia="黑体"/>
          <w:bCs/>
          <w:color w:val="000000"/>
          <w:sz w:val="32"/>
          <w:szCs w:val="32"/>
        </w:rPr>
        <w:t>第十二条</w:t>
      </w:r>
      <w:r>
        <w:rPr>
          <w:rFonts w:eastAsia="黑体"/>
          <w:bCs/>
          <w:color w:val="000000"/>
          <w:sz w:val="32"/>
          <w:szCs w:val="32"/>
          <w:lang w:val="en"/>
        </w:rPr>
        <w:t xml:space="preserve">  </w:t>
      </w:r>
      <w:r>
        <w:rPr>
          <w:rFonts w:eastAsia="仿宋_GB2312"/>
          <w:color w:val="000000"/>
          <w:sz w:val="32"/>
          <w:szCs w:val="32"/>
        </w:rPr>
        <w:t>持有人应当建立健全药品质量管理体系，涵盖药品的非临床研究、临床试验、生产经营、上市后研究、不良反应监测及报告等全生命周期过程；应当建立</w:t>
      </w:r>
      <w:r>
        <w:rPr>
          <w:rFonts w:eastAsia="仿宋_GB2312"/>
          <w:sz w:val="32"/>
          <w:szCs w:val="32"/>
        </w:rPr>
        <w:t>符合药品质量管理要求</w:t>
      </w:r>
      <w:r>
        <w:rPr>
          <w:rFonts w:eastAsia="仿宋_GB2312"/>
          <w:color w:val="000000"/>
          <w:sz w:val="32"/>
          <w:szCs w:val="32"/>
        </w:rPr>
        <w:t>的质量目标，持续改进质量</w:t>
      </w:r>
      <w:r>
        <w:rPr>
          <w:rFonts w:eastAsia="仿宋_GB2312"/>
          <w:color w:val="000000"/>
          <w:sz w:val="32"/>
          <w:szCs w:val="32"/>
          <w:lang w:val="en"/>
        </w:rPr>
        <w:t>管理</w:t>
      </w:r>
      <w:r>
        <w:rPr>
          <w:rFonts w:eastAsia="仿宋_GB2312"/>
          <w:color w:val="000000"/>
          <w:sz w:val="32"/>
          <w:szCs w:val="32"/>
        </w:rPr>
        <w:t>体系，确保所生产的药品符合预定用途和注册要求。</w:t>
      </w:r>
    </w:p>
    <w:p>
      <w:pPr>
        <w:overflowPunct w:val="0"/>
        <w:adjustRightInd w:val="0"/>
        <w:snapToGrid w:val="0"/>
        <w:spacing w:line="560" w:lineRule="exact"/>
        <w:ind w:firstLine="640" w:firstLineChars="200"/>
        <w:rPr>
          <w:rFonts w:eastAsia="仿宋_GB2312"/>
          <w:color w:val="000000"/>
          <w:sz w:val="32"/>
          <w:szCs w:val="32"/>
        </w:rPr>
      </w:pPr>
      <w:r>
        <w:rPr>
          <w:rFonts w:eastAsia="黑体"/>
          <w:color w:val="000000"/>
          <w:sz w:val="32"/>
          <w:szCs w:val="32"/>
        </w:rPr>
        <w:t>第十三条</w:t>
      </w:r>
      <w:r>
        <w:rPr>
          <w:rFonts w:eastAsia="黑体"/>
          <w:color w:val="000000"/>
          <w:sz w:val="32"/>
          <w:szCs w:val="32"/>
          <w:lang w:val="en"/>
        </w:rPr>
        <w:t xml:space="preserve">  </w:t>
      </w:r>
      <w:r>
        <w:rPr>
          <w:rFonts w:eastAsia="仿宋_GB2312"/>
          <w:color w:val="000000"/>
          <w:sz w:val="32"/>
          <w:szCs w:val="32"/>
        </w:rPr>
        <w:t>持有人应当对原料、辅料、直接接触药品的包装材料和容器等供应商进行审核，保证购进和使用的原料、辅料、直接接触药品的包装材料和容器等符合药用要求，符合国务院药品监督管理部门制定的质量管理规范以及相应关联审评审批等有关要求和法律法规要求。</w:t>
      </w:r>
    </w:p>
    <w:p>
      <w:pPr>
        <w:pStyle w:val="7"/>
        <w:shd w:val="clear" w:color="auto" w:fill="FFFFFF"/>
        <w:overflowPunct w:val="0"/>
        <w:adjustRightInd w:val="0"/>
        <w:snapToGrid w:val="0"/>
        <w:spacing w:before="0" w:beforeAutospacing="0" w:after="0" w:afterAutospacing="0" w:line="560" w:lineRule="exact"/>
        <w:ind w:firstLine="640" w:firstLineChars="200"/>
        <w:jc w:val="both"/>
        <w:rPr>
          <w:rStyle w:val="15"/>
          <w:rFonts w:hint="default" w:ascii="Times New Roman" w:hAnsi="Times New Roman" w:eastAsia="仿宋_GB2312"/>
          <w:bCs/>
        </w:rPr>
      </w:pPr>
      <w:r>
        <w:rPr>
          <w:rFonts w:eastAsia="黑体"/>
          <w:bCs/>
          <w:color w:val="000000"/>
          <w:sz w:val="32"/>
          <w:szCs w:val="32"/>
        </w:rPr>
        <w:t>第十四条</w:t>
      </w:r>
      <w:r>
        <w:rPr>
          <w:rFonts w:eastAsia="黑体"/>
          <w:bCs/>
          <w:color w:val="000000"/>
          <w:sz w:val="32"/>
          <w:szCs w:val="32"/>
          <w:lang w:val="en"/>
        </w:rPr>
        <w:t xml:space="preserve">  </w:t>
      </w:r>
      <w:r>
        <w:rPr>
          <w:rFonts w:eastAsia="仿宋_GB2312"/>
          <w:color w:val="000000"/>
          <w:sz w:val="32"/>
          <w:szCs w:val="32"/>
        </w:rPr>
        <w:t>持有人应当按照药品监管有关规定和药品生产质量管理规范等要求建立药品上市后变更控制体系，制定实施内部变更分类原则、变更事项清单、工作程序和风险管理要求</w:t>
      </w:r>
      <w:r>
        <w:rPr>
          <w:rFonts w:hint="eastAsia" w:eastAsia="仿宋_GB2312"/>
          <w:color w:val="000000"/>
          <w:sz w:val="32"/>
          <w:szCs w:val="32"/>
        </w:rPr>
        <w:t>；应当</w:t>
      </w:r>
      <w:r>
        <w:rPr>
          <w:rFonts w:eastAsia="仿宋_GB2312"/>
          <w:color w:val="000000"/>
          <w:sz w:val="32"/>
          <w:szCs w:val="32"/>
        </w:rPr>
        <w:t>结合产品特点，经充分研究、评估和必要的验证后确定变更管理类别，</w:t>
      </w:r>
      <w:r>
        <w:rPr>
          <w:rStyle w:val="15"/>
          <w:rFonts w:hint="default" w:ascii="Times New Roman" w:hAnsi="Times New Roman" w:eastAsia="仿宋_GB2312"/>
          <w:bCs/>
        </w:rPr>
        <w:t>经批准、备案后实施或者在年度报告中载明。</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委托生产的，应当联合受托生产企业开展相关研究、评估和必要的验证。</w:t>
      </w:r>
    </w:p>
    <w:p>
      <w:pPr>
        <w:overflowPunct w:val="0"/>
        <w:adjustRightInd w:val="0"/>
        <w:snapToGrid w:val="0"/>
        <w:spacing w:line="560" w:lineRule="exact"/>
        <w:ind w:firstLine="640" w:firstLineChars="200"/>
        <w:rPr>
          <w:rFonts w:eastAsia="仿宋_GB2312"/>
          <w:color w:val="000000"/>
          <w:sz w:val="32"/>
          <w:szCs w:val="32"/>
        </w:rPr>
      </w:pPr>
      <w:r>
        <w:rPr>
          <w:rFonts w:eastAsia="黑体"/>
          <w:bCs/>
          <w:color w:val="000000"/>
          <w:sz w:val="32"/>
          <w:szCs w:val="32"/>
        </w:rPr>
        <w:t>第十五条</w:t>
      </w:r>
      <w:r>
        <w:rPr>
          <w:rFonts w:eastAsia="黑体"/>
          <w:bCs/>
          <w:color w:val="000000"/>
          <w:sz w:val="32"/>
          <w:szCs w:val="32"/>
          <w:lang w:val="en"/>
        </w:rPr>
        <w:t xml:space="preserve">  </w:t>
      </w:r>
      <w:r>
        <w:rPr>
          <w:rFonts w:eastAsia="仿宋_GB2312"/>
          <w:color w:val="000000"/>
          <w:sz w:val="32"/>
          <w:szCs w:val="32"/>
        </w:rPr>
        <w:t>药品生产企业应当建立药品出厂放行规程，明确出厂放行的标准、条件，并对药品质量检验结果、关键生产记录和偏差控制情况进行审核，对药品进行质量检验。符合有关标准、条件的，经质量受权人签字后方可出厂放行。</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持有人应当履行药品上市放行责任，制定药品上市放行规程，审核受托生产企业制定的出厂放行规程，明确药品的上市放行标准，</w:t>
      </w:r>
      <w:r>
        <w:rPr>
          <w:rFonts w:eastAsia="仿宋" w:cs="仿宋_GB2312"/>
          <w:sz w:val="32"/>
        </w:rPr>
        <w:t>对药品生产企业出厂放行的药品检验结果和放行文件进行审核</w:t>
      </w:r>
      <w:r>
        <w:rPr>
          <w:rFonts w:hint="eastAsia" w:eastAsia="仿宋" w:cs="仿宋_GB2312"/>
          <w:sz w:val="32"/>
        </w:rPr>
        <w:t>，</w:t>
      </w:r>
      <w:r>
        <w:rPr>
          <w:rFonts w:eastAsia="仿宋_GB2312"/>
          <w:color w:val="000000"/>
          <w:sz w:val="32"/>
          <w:szCs w:val="32"/>
        </w:rPr>
        <w:t>符合有关规定的，经质量受权人签字后方可放行上市。</w:t>
      </w:r>
      <w:r>
        <w:rPr>
          <w:rFonts w:hint="eastAsia" w:eastAsia="仿宋_GB2312"/>
          <w:color w:val="000000"/>
          <w:sz w:val="32"/>
          <w:szCs w:val="32"/>
        </w:rPr>
        <w:t>必要时，持有人可对</w:t>
      </w:r>
      <w:r>
        <w:rPr>
          <w:rFonts w:eastAsia="仿宋_GB2312"/>
          <w:color w:val="000000"/>
          <w:sz w:val="32"/>
          <w:szCs w:val="32"/>
        </w:rPr>
        <w:t>受托方药品生产记录、检验记录、偏差调查等进行审核</w:t>
      </w:r>
      <w:r>
        <w:rPr>
          <w:rFonts w:hint="eastAsia" w:eastAsia="仿宋_GB2312"/>
          <w:color w:val="000000"/>
          <w:sz w:val="32"/>
          <w:szCs w:val="32"/>
        </w:rPr>
        <w:t>。</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sz w:val="32"/>
          <w:szCs w:val="32"/>
        </w:rPr>
      </w:pPr>
      <w:r>
        <w:rPr>
          <w:rStyle w:val="15"/>
          <w:rFonts w:hint="default" w:ascii="Times New Roman" w:hAnsi="Times New Roman" w:eastAsia="黑体"/>
        </w:rPr>
        <w:t xml:space="preserve">第十六条  </w:t>
      </w:r>
      <w:r>
        <w:rPr>
          <w:rFonts w:eastAsia="仿宋_GB2312"/>
          <w:sz w:val="32"/>
          <w:szCs w:val="32"/>
        </w:rPr>
        <w:t>委托生产药品的，持有人应当对受托方的质量保证能力和风险管理能力进行评估，按规定与受托方签订质量协议以及委托生产协议；应当履行物料供应商评估批准、变更管理审核、产品上市放行以及年度报告等义务；应当监督受托方履行协议约定的义务，对受托方的质量管理体系进行定期现场审核，并确保双方质量管理体系有效衔接，生产过程持续符合法定要求。</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持有人不得通过质量协议转移依法应</w:t>
      </w:r>
      <w:r>
        <w:rPr>
          <w:rFonts w:hint="eastAsia" w:eastAsia="仿宋_GB2312"/>
          <w:sz w:val="32"/>
          <w:szCs w:val="32"/>
        </w:rPr>
        <w:t>当</w:t>
      </w:r>
      <w:r>
        <w:rPr>
          <w:rFonts w:eastAsia="仿宋_GB2312"/>
          <w:sz w:val="32"/>
          <w:szCs w:val="32"/>
        </w:rPr>
        <w:t>由持有人履行的义务和责任。</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sz w:val="32"/>
          <w:szCs w:val="32"/>
        </w:rPr>
        <w:t>接受委托生产的药品生产企业应当严格执行质量协议，按照药品生产质量管理规范组织委托生产药品的生产，积极配合接受持有人的审核，并按照所有审核发现的缺陷，采取纠正和预防措施落实整改。</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黑体"/>
          <w:bCs/>
          <w:color w:val="000000"/>
          <w:sz w:val="32"/>
          <w:szCs w:val="32"/>
        </w:rPr>
        <w:t>第十七条</w:t>
      </w:r>
      <w:r>
        <w:rPr>
          <w:rFonts w:eastAsia="黑体"/>
          <w:bCs/>
          <w:color w:val="000000"/>
          <w:sz w:val="32"/>
          <w:szCs w:val="32"/>
          <w:lang w:val="en"/>
        </w:rPr>
        <w:t xml:space="preserve">  </w:t>
      </w:r>
      <w:r>
        <w:rPr>
          <w:rStyle w:val="15"/>
          <w:rFonts w:hint="default" w:ascii="Times New Roman" w:hAnsi="Times New Roman" w:eastAsia="仿宋_GB2312"/>
          <w:bCs/>
        </w:rPr>
        <w:t>持有人应当确保药品储存、运输活动符合药品经营质量管理规范等要求。委托</w:t>
      </w:r>
      <w:r>
        <w:rPr>
          <w:rFonts w:eastAsia="仿宋_GB2312"/>
          <w:color w:val="000000"/>
          <w:sz w:val="32"/>
          <w:szCs w:val="32"/>
        </w:rPr>
        <w:t>储存、运输、销售药品的，持有人应当对受托方质量保证能力和风险管理能力进行评估，按照有关规定与受托方</w:t>
      </w:r>
      <w:r>
        <w:rPr>
          <w:rFonts w:eastAsia="仿宋_GB2312"/>
          <w:sz w:val="32"/>
          <w:szCs w:val="32"/>
        </w:rPr>
        <w:t>签订委托协议和质量协议</w:t>
      </w:r>
      <w:r>
        <w:rPr>
          <w:rFonts w:eastAsia="仿宋_GB2312"/>
          <w:color w:val="000000"/>
          <w:sz w:val="32"/>
          <w:szCs w:val="32"/>
        </w:rPr>
        <w:t>，并定期审核受托企业的储存、运输管理情况，</w:t>
      </w:r>
      <w:r>
        <w:rPr>
          <w:rFonts w:eastAsia="仿宋_GB2312"/>
          <w:sz w:val="32"/>
          <w:szCs w:val="32"/>
        </w:rPr>
        <w:t>确保储存、运输过程符合药品经营质量管理规范和药品的贮藏条件要求</w:t>
      </w:r>
      <w:r>
        <w:rPr>
          <w:rFonts w:eastAsia="仿宋_GB2312"/>
          <w:color w:val="000000"/>
          <w:sz w:val="32"/>
          <w:szCs w:val="32"/>
        </w:rPr>
        <w:t>。</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接受委托储存、运输的企业应当按照药品经营质量管理规范的要求开展储存、运输活动，履行</w:t>
      </w:r>
      <w:r>
        <w:rPr>
          <w:rFonts w:eastAsia="仿宋_GB2312"/>
          <w:sz w:val="32"/>
          <w:szCs w:val="32"/>
        </w:rPr>
        <w:t>协议</w:t>
      </w:r>
      <w:r>
        <w:rPr>
          <w:rFonts w:eastAsia="仿宋_GB2312"/>
          <w:color w:val="000000"/>
          <w:sz w:val="32"/>
          <w:szCs w:val="32"/>
        </w:rPr>
        <w:t>义务，并承担相应法律责任。</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黑体"/>
          <w:bCs/>
          <w:color w:val="000000"/>
          <w:sz w:val="32"/>
          <w:szCs w:val="32"/>
        </w:rPr>
        <w:t>第十八条</w:t>
      </w:r>
      <w:r>
        <w:rPr>
          <w:rFonts w:eastAsia="黑体"/>
          <w:bCs/>
          <w:color w:val="000000"/>
          <w:sz w:val="32"/>
          <w:szCs w:val="32"/>
          <w:lang w:val="en"/>
        </w:rPr>
        <w:t xml:space="preserve">  </w:t>
      </w:r>
      <w:r>
        <w:rPr>
          <w:rFonts w:eastAsia="仿宋_GB2312"/>
          <w:color w:val="000000"/>
          <w:sz w:val="32"/>
          <w:szCs w:val="32"/>
        </w:rPr>
        <w:t>持有人应当依法建立并实施药品追溯制度，</w:t>
      </w:r>
      <w:r>
        <w:rPr>
          <w:rFonts w:hint="eastAsia" w:eastAsia="仿宋_GB2312"/>
          <w:color w:val="000000"/>
          <w:sz w:val="32"/>
          <w:szCs w:val="32"/>
        </w:rPr>
        <w:t>按要求自建或者委托第三方</w:t>
      </w:r>
      <w:r>
        <w:rPr>
          <w:rFonts w:eastAsia="仿宋_GB2312"/>
          <w:color w:val="000000"/>
          <w:sz w:val="32"/>
          <w:szCs w:val="32"/>
        </w:rPr>
        <w:t>建设信息化追溯系统，</w:t>
      </w:r>
      <w:r>
        <w:rPr>
          <w:rFonts w:hint="eastAsia" w:eastAsia="仿宋_GB2312"/>
          <w:color w:val="000000"/>
          <w:sz w:val="32"/>
          <w:szCs w:val="32"/>
        </w:rPr>
        <w:t>在药品各级销售包装单元赋予药品追溯标示，</w:t>
      </w:r>
      <w:r>
        <w:rPr>
          <w:rFonts w:eastAsia="仿宋_GB2312"/>
          <w:color w:val="000000"/>
          <w:sz w:val="32"/>
          <w:szCs w:val="32"/>
        </w:rPr>
        <w:t>向下游药品经营企业、药品使用单位提供追溯信息，及时、准确记录并保存药品全过程信息，实现药品可追溯</w:t>
      </w:r>
      <w:r>
        <w:rPr>
          <w:rFonts w:hint="eastAsia" w:eastAsia="仿宋_GB2312"/>
          <w:color w:val="000000"/>
          <w:sz w:val="32"/>
          <w:szCs w:val="32"/>
        </w:rPr>
        <w:t>，并按照规定向药品监督管理部门提供追溯数据</w:t>
      </w:r>
      <w:r>
        <w:rPr>
          <w:rFonts w:eastAsia="仿宋_GB2312"/>
          <w:color w:val="000000"/>
          <w:sz w:val="32"/>
          <w:szCs w:val="32"/>
        </w:rPr>
        <w:t>。</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黑体"/>
          <w:sz w:val="32"/>
          <w:szCs w:val="32"/>
          <w:lang w:val="en"/>
        </w:rPr>
        <w:t xml:space="preserve">  </w:t>
      </w:r>
      <w:r>
        <w:rPr>
          <w:rFonts w:hint="eastAsia" w:eastAsia="仿宋_GB2312"/>
          <w:sz w:val="32"/>
          <w:szCs w:val="32"/>
        </w:rPr>
        <w:t>持有人应当依照药品召回有关规定建立并完善药品召回制度，发现药品存在质量问题或者其他安全隐患的，按照有关规定启动召回，及时通知有关企业或者使用单位，同时将调查评估报告、召回计划和召回通知提交给所在地省级药品监督管理部门备案。召回的药品需要销毁的，应当按照有关规定进行销毁。</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333333"/>
          <w:sz w:val="32"/>
          <w:szCs w:val="32"/>
          <w:shd w:val="clear" w:color="auto" w:fill="FFFFFF"/>
        </w:rPr>
      </w:pPr>
      <w:r>
        <w:rPr>
          <w:rFonts w:hint="eastAsia" w:eastAsia="仿宋_GB2312"/>
          <w:sz w:val="32"/>
          <w:szCs w:val="32"/>
        </w:rPr>
        <w:t>召回完成后应当按照有关规定及时将药品召回和处理情况向所在地省级药品监督管理部门和卫生健康主管部门报告。</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pacing w:val="-6"/>
          <w:sz w:val="32"/>
          <w:szCs w:val="32"/>
        </w:rPr>
      </w:pPr>
      <w:r>
        <w:rPr>
          <w:rFonts w:eastAsia="黑体"/>
          <w:bCs/>
          <w:color w:val="000000"/>
          <w:sz w:val="32"/>
          <w:szCs w:val="32"/>
        </w:rPr>
        <w:t>第二十条</w:t>
      </w:r>
      <w:r>
        <w:rPr>
          <w:rFonts w:eastAsia="黑体"/>
          <w:bCs/>
          <w:color w:val="000000"/>
          <w:sz w:val="32"/>
          <w:szCs w:val="32"/>
          <w:lang w:val="en"/>
        </w:rPr>
        <w:t xml:space="preserve">  </w:t>
      </w:r>
      <w:r>
        <w:rPr>
          <w:rFonts w:eastAsia="仿宋_GB2312"/>
          <w:color w:val="000000"/>
          <w:sz w:val="32"/>
          <w:szCs w:val="32"/>
        </w:rPr>
        <w:t>持有人应当建立药物警戒体系</w:t>
      </w:r>
      <w:r>
        <w:rPr>
          <w:rFonts w:hint="eastAsia" w:eastAsia="仿宋_GB2312"/>
          <w:color w:val="000000"/>
          <w:sz w:val="32"/>
          <w:szCs w:val="32"/>
        </w:rPr>
        <w:t>，</w:t>
      </w:r>
      <w:r>
        <w:rPr>
          <w:rFonts w:eastAsia="仿宋_GB2312"/>
          <w:color w:val="000000"/>
          <w:sz w:val="32"/>
          <w:szCs w:val="32"/>
        </w:rPr>
        <w:t>设立专门的药物警戒部门，按照药物警戒质量管理规范等要求开展药物警戒工作，进行药品不良反应及其他与用药有关的有害反应监测、识别、评估和控制等活动，</w:t>
      </w:r>
      <w:r>
        <w:rPr>
          <w:rFonts w:eastAsia="仿宋_GB2312"/>
          <w:color w:val="000000"/>
          <w:spacing w:val="-6"/>
          <w:sz w:val="32"/>
          <w:szCs w:val="32"/>
        </w:rPr>
        <w:t>最大限度地降低药品安全风险。</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黑体"/>
          <w:bCs/>
          <w:color w:val="000000"/>
          <w:sz w:val="32"/>
          <w:szCs w:val="32"/>
        </w:rPr>
        <w:t>第二十</w:t>
      </w:r>
      <w:r>
        <w:rPr>
          <w:rFonts w:hint="eastAsia" w:eastAsia="黑体"/>
          <w:bCs/>
          <w:color w:val="000000"/>
          <w:sz w:val="32"/>
          <w:szCs w:val="32"/>
        </w:rPr>
        <w:t>一</w:t>
      </w:r>
      <w:r>
        <w:rPr>
          <w:rFonts w:eastAsia="黑体"/>
          <w:bCs/>
          <w:color w:val="000000"/>
          <w:sz w:val="32"/>
          <w:szCs w:val="32"/>
        </w:rPr>
        <w:t>条</w:t>
      </w:r>
      <w:r>
        <w:rPr>
          <w:rFonts w:eastAsia="黑体"/>
          <w:bCs/>
          <w:color w:val="000000"/>
          <w:sz w:val="32"/>
          <w:szCs w:val="32"/>
          <w:lang w:val="en"/>
        </w:rPr>
        <w:t xml:space="preserve">  </w:t>
      </w:r>
      <w:r>
        <w:rPr>
          <w:rFonts w:eastAsia="仿宋_GB2312"/>
          <w:color w:val="000000"/>
          <w:sz w:val="32"/>
          <w:szCs w:val="32"/>
        </w:rPr>
        <w:t>持有人应当制定上市后风险管理计划，主动开展上市后研究，并基于对药品安全性、有效性、质量可控性的上市后研究情况等，定期开展上市后评价，对药品的获益和风险进行综合分析评估。根据</w:t>
      </w:r>
      <w:r>
        <w:rPr>
          <w:rFonts w:hint="eastAsia" w:eastAsia="仿宋_GB2312"/>
          <w:color w:val="000000"/>
          <w:sz w:val="32"/>
          <w:szCs w:val="32"/>
        </w:rPr>
        <w:t>评价</w:t>
      </w:r>
      <w:r>
        <w:rPr>
          <w:rFonts w:eastAsia="仿宋_GB2312"/>
          <w:color w:val="000000"/>
          <w:sz w:val="32"/>
          <w:szCs w:val="32"/>
        </w:rPr>
        <w:t>结果，依法采取修订药品说明书、提高质量标准、完善工艺处方、暂停生产销售、召回药品、申请注销药品批准证明文件等质量提升或者风险防控措施。</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对附条件批准的药品，持有人应当采取相应风险管理措施，并在规定期限内按照要求完成相关研究。</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持有人应当制定药品安全事件处置方案，并</w:t>
      </w:r>
      <w:r>
        <w:rPr>
          <w:rFonts w:hint="eastAsia" w:eastAsia="仿宋_GB2312"/>
          <w:color w:val="000000"/>
          <w:sz w:val="32"/>
          <w:szCs w:val="32"/>
        </w:rPr>
        <w:t>定期</w:t>
      </w:r>
      <w:r>
        <w:rPr>
          <w:rFonts w:eastAsia="仿宋_GB2312"/>
          <w:color w:val="000000"/>
          <w:sz w:val="32"/>
          <w:szCs w:val="32"/>
        </w:rPr>
        <w:t>组织开展培训和应急演练。发生与药品质量有关的</w:t>
      </w:r>
      <w:r>
        <w:rPr>
          <w:rFonts w:hint="eastAsia" w:eastAsia="仿宋_GB2312"/>
          <w:color w:val="000000"/>
          <w:sz w:val="32"/>
          <w:szCs w:val="32"/>
        </w:rPr>
        <w:t>重大</w:t>
      </w:r>
      <w:r>
        <w:rPr>
          <w:rFonts w:eastAsia="仿宋_GB2312"/>
          <w:color w:val="000000"/>
          <w:sz w:val="32"/>
          <w:szCs w:val="32"/>
        </w:rPr>
        <w:t>安全事件，持有人应当立即对有关药品及其原料、辅料以及直接接触药品的包装材料和容器、相关生产线等采取有效措施进行处置，防止危害扩大。</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bCs/>
          <w:color w:val="000000"/>
          <w:sz w:val="32"/>
          <w:szCs w:val="32"/>
        </w:rPr>
      </w:pPr>
      <w:r>
        <w:rPr>
          <w:rFonts w:eastAsia="黑体"/>
          <w:color w:val="000000"/>
          <w:sz w:val="32"/>
          <w:szCs w:val="32"/>
        </w:rPr>
        <w:t>第二十</w:t>
      </w:r>
      <w:r>
        <w:rPr>
          <w:rFonts w:hint="eastAsia" w:eastAsia="黑体"/>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bCs/>
          <w:color w:val="000000"/>
          <w:sz w:val="32"/>
          <w:szCs w:val="32"/>
        </w:rPr>
        <w:t>持有人应当建立短缺药品停产报告制度。列入国家实施停产报告的短缺药品清单的药</w:t>
      </w:r>
      <w:r>
        <w:rPr>
          <w:rFonts w:eastAsia="仿宋_GB2312"/>
          <w:bCs/>
          <w:color w:val="000000"/>
          <w:sz w:val="32"/>
          <w:szCs w:val="32"/>
          <w:lang w:val="en"/>
        </w:rPr>
        <w:t>品</w:t>
      </w:r>
      <w:r>
        <w:rPr>
          <w:rFonts w:eastAsia="仿宋_GB2312"/>
          <w:bCs/>
          <w:color w:val="000000"/>
          <w:sz w:val="32"/>
          <w:szCs w:val="32"/>
        </w:rPr>
        <w:t>停止生产的，应当在计划停产实施六个月前向所在地省级药品监督管理部门报告；发生非预期停产的，在三日内报告所在地省级药品监督管理部门。必要时，向国家药品监督管理局报告。</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sz w:val="32"/>
          <w:szCs w:val="32"/>
        </w:rPr>
      </w:pPr>
      <w:r>
        <w:rPr>
          <w:rFonts w:eastAsia="黑体"/>
          <w:bCs/>
          <w:sz w:val="32"/>
          <w:szCs w:val="32"/>
        </w:rPr>
        <w:t>第二十</w:t>
      </w:r>
      <w:r>
        <w:rPr>
          <w:rFonts w:hint="eastAsia" w:eastAsia="黑体"/>
          <w:bCs/>
          <w:sz w:val="32"/>
          <w:szCs w:val="32"/>
        </w:rPr>
        <w:t>四</w:t>
      </w:r>
      <w:r>
        <w:rPr>
          <w:rFonts w:eastAsia="黑体"/>
          <w:bCs/>
          <w:sz w:val="32"/>
          <w:szCs w:val="32"/>
        </w:rPr>
        <w:t>条</w:t>
      </w:r>
      <w:r>
        <w:rPr>
          <w:rFonts w:eastAsia="黑体"/>
          <w:bCs/>
          <w:sz w:val="32"/>
          <w:szCs w:val="32"/>
          <w:lang w:val="en"/>
        </w:rPr>
        <w:t xml:space="preserve">  </w:t>
      </w:r>
      <w:r>
        <w:rPr>
          <w:rFonts w:eastAsia="仿宋_GB2312"/>
          <w:sz w:val="32"/>
          <w:szCs w:val="32"/>
        </w:rPr>
        <w:t>持有人应当具备法律要求的责任赔偿能力，建立责任赔偿的相关管理程序和制度，实行赔偿首负责任制。责任赔偿能力应当与产品的风险程度、市场规模和</w:t>
      </w:r>
      <w:r>
        <w:rPr>
          <w:rFonts w:hint="eastAsia" w:eastAsia="仿宋_GB2312"/>
          <w:sz w:val="32"/>
          <w:szCs w:val="32"/>
        </w:rPr>
        <w:t>人身损害</w:t>
      </w:r>
      <w:r>
        <w:rPr>
          <w:rFonts w:eastAsia="仿宋_GB2312"/>
          <w:sz w:val="32"/>
          <w:szCs w:val="32"/>
        </w:rPr>
        <w:t>赔偿标准等因素相匹配。持有人应当具有责任赔偿能力相关证明或者相应的商业保险购买合同等。</w:t>
      </w:r>
    </w:p>
    <w:p>
      <w:pPr>
        <w:widowControl/>
        <w:spacing w:line="560" w:lineRule="exact"/>
        <w:jc w:val="center"/>
        <w:rPr>
          <w:rFonts w:eastAsia="方正小标宋_GBK"/>
          <w:sz w:val="32"/>
          <w:szCs w:val="32"/>
        </w:rPr>
      </w:pPr>
    </w:p>
    <w:p>
      <w:pPr>
        <w:widowControl/>
        <w:spacing w:line="560" w:lineRule="exact"/>
        <w:jc w:val="center"/>
        <w:rPr>
          <w:rFonts w:eastAsia="黑体"/>
          <w:bCs/>
          <w:color w:val="000000"/>
          <w:sz w:val="32"/>
          <w:szCs w:val="32"/>
        </w:rPr>
      </w:pPr>
      <w:r>
        <w:rPr>
          <w:rFonts w:eastAsia="方正小标宋_GBK"/>
          <w:sz w:val="32"/>
          <w:szCs w:val="32"/>
        </w:rPr>
        <w:t>第</w:t>
      </w:r>
      <w:r>
        <w:rPr>
          <w:rFonts w:hint="eastAsia" w:eastAsia="方正小标宋_GBK"/>
          <w:sz w:val="32"/>
          <w:szCs w:val="32"/>
        </w:rPr>
        <w:t>四</w:t>
      </w:r>
      <w:r>
        <w:rPr>
          <w:rFonts w:eastAsia="方正小标宋_GBK"/>
          <w:sz w:val="32"/>
          <w:szCs w:val="32"/>
          <w:lang w:val="en"/>
        </w:rPr>
        <w:t xml:space="preserve">章  </w:t>
      </w:r>
      <w:r>
        <w:rPr>
          <w:rFonts w:hint="eastAsia" w:eastAsia="方正小标宋_GBK"/>
          <w:sz w:val="32"/>
          <w:szCs w:val="32"/>
        </w:rPr>
        <w:t>持有人质量管理机制</w:t>
      </w:r>
    </w:p>
    <w:p>
      <w:pPr>
        <w:overflowPunct w:val="0"/>
        <w:adjustRightInd w:val="0"/>
        <w:snapToGrid w:val="0"/>
        <w:spacing w:line="560" w:lineRule="exact"/>
        <w:ind w:firstLine="640" w:firstLineChars="200"/>
        <w:rPr>
          <w:rFonts w:eastAsia="仿宋_GB2312"/>
          <w:color w:val="000000"/>
          <w:sz w:val="32"/>
          <w:szCs w:val="32"/>
          <w:shd w:val="clear" w:color="auto" w:fill="FFFFFF"/>
        </w:rPr>
      </w:pPr>
      <w:r>
        <w:rPr>
          <w:rFonts w:eastAsia="黑体"/>
          <w:bCs/>
          <w:color w:val="000000"/>
          <w:sz w:val="32"/>
          <w:szCs w:val="32"/>
        </w:rPr>
        <w:t>第二十</w:t>
      </w:r>
      <w:r>
        <w:rPr>
          <w:rFonts w:hint="eastAsia" w:eastAsia="黑体"/>
          <w:bCs/>
          <w:color w:val="000000"/>
          <w:sz w:val="32"/>
          <w:szCs w:val="32"/>
        </w:rPr>
        <w:t>五</w:t>
      </w:r>
      <w:r>
        <w:rPr>
          <w:rFonts w:eastAsia="黑体"/>
          <w:bCs/>
          <w:color w:val="000000"/>
          <w:sz w:val="32"/>
          <w:szCs w:val="32"/>
        </w:rPr>
        <w:t>条</w:t>
      </w:r>
      <w:r>
        <w:rPr>
          <w:rFonts w:eastAsia="黑体"/>
          <w:bCs/>
          <w:color w:val="000000"/>
          <w:sz w:val="32"/>
          <w:szCs w:val="32"/>
          <w:lang w:val="en"/>
        </w:rPr>
        <w:t xml:space="preserve">  </w:t>
      </w:r>
      <w:r>
        <w:rPr>
          <w:rFonts w:eastAsia="仿宋_GB2312"/>
          <w:color w:val="000000"/>
          <w:sz w:val="32"/>
          <w:szCs w:val="32"/>
          <w:shd w:val="clear" w:color="auto" w:fill="FFFFFF"/>
        </w:rPr>
        <w:t>质量管理人员应当对每批次药品生产、检验过程中落实药品生产质量管理规范等要求情况进行监督，对发生</w:t>
      </w:r>
      <w:r>
        <w:rPr>
          <w:rFonts w:hint="eastAsia" w:eastAsia="仿宋_GB2312"/>
          <w:color w:val="000000"/>
          <w:sz w:val="32"/>
          <w:szCs w:val="32"/>
          <w:shd w:val="clear" w:color="auto" w:fill="FFFFFF"/>
        </w:rPr>
        <w:t>的</w:t>
      </w:r>
      <w:r>
        <w:rPr>
          <w:rFonts w:eastAsia="仿宋_GB2312"/>
          <w:color w:val="000000"/>
          <w:sz w:val="32"/>
          <w:szCs w:val="32"/>
          <w:shd w:val="clear" w:color="auto" w:fill="FFFFFF"/>
        </w:rPr>
        <w:t>偏差组织调查，对潜在的质量风险及时采取控制措施；质量负责人应当确保在每批次药品放行前完成对生产记录、检验记录的审核，确保与质量有关的变更按规定得到审核和批准，确保所有重大偏差和检验超标已经过调查并得到及时处理。</w:t>
      </w:r>
    </w:p>
    <w:p>
      <w:pPr>
        <w:pStyle w:val="6"/>
        <w:shd w:val="clear" w:color="auto" w:fill="FFFFFF"/>
        <w:overflowPunct w:val="0"/>
        <w:adjustRightInd w:val="0"/>
        <w:snapToGrid w:val="0"/>
        <w:spacing w:line="560" w:lineRule="exact"/>
        <w:ind w:firstLine="640" w:firstLineChars="200"/>
        <w:jc w:val="both"/>
        <w:rPr>
          <w:rFonts w:hint="default" w:ascii="Times New Roman" w:hAnsi="Times New Roman" w:eastAsia="仿宋_GB2312"/>
          <w:color w:val="000000"/>
          <w:sz w:val="32"/>
          <w:szCs w:val="32"/>
          <w:shd w:val="clear" w:color="auto" w:fill="FFFFFF"/>
        </w:rPr>
      </w:pPr>
      <w:r>
        <w:rPr>
          <w:rFonts w:hint="default" w:ascii="Times New Roman" w:hAnsi="Times New Roman" w:eastAsia="黑体"/>
          <w:bCs/>
          <w:color w:val="000000"/>
          <w:kern w:val="2"/>
          <w:sz w:val="32"/>
          <w:szCs w:val="32"/>
        </w:rPr>
        <w:t>第二十</w:t>
      </w:r>
      <w:r>
        <w:rPr>
          <w:rFonts w:ascii="Times New Roman" w:hAnsi="Times New Roman" w:eastAsia="黑体"/>
          <w:bCs/>
          <w:color w:val="000000"/>
          <w:kern w:val="2"/>
          <w:sz w:val="32"/>
          <w:szCs w:val="32"/>
        </w:rPr>
        <w:t>六</w:t>
      </w:r>
      <w:r>
        <w:rPr>
          <w:rFonts w:hint="default" w:ascii="Times New Roman" w:hAnsi="Times New Roman" w:eastAsia="黑体"/>
          <w:bCs/>
          <w:color w:val="000000"/>
          <w:kern w:val="2"/>
          <w:sz w:val="32"/>
          <w:szCs w:val="32"/>
        </w:rPr>
        <w:t>条</w:t>
      </w:r>
      <w:r>
        <w:rPr>
          <w:rFonts w:hint="default" w:ascii="Times New Roman" w:hAnsi="Times New Roman" w:eastAsia="黑体"/>
          <w:bCs/>
          <w:color w:val="000000"/>
          <w:kern w:val="2"/>
          <w:sz w:val="32"/>
          <w:szCs w:val="32"/>
          <w:lang w:val="en"/>
        </w:rPr>
        <w:t xml:space="preserve">  </w:t>
      </w:r>
      <w:r>
        <w:rPr>
          <w:rFonts w:hint="default" w:ascii="Times New Roman" w:hAnsi="Times New Roman" w:eastAsia="仿宋_GB2312"/>
          <w:color w:val="000000"/>
          <w:sz w:val="32"/>
          <w:szCs w:val="32"/>
          <w:shd w:val="clear" w:color="auto" w:fill="FFFFFF"/>
        </w:rPr>
        <w:t>质量负责人应当结合产品风险定期组织对生产管理、质量管理等情况进行回顾分析，原则上每季度不少于一次对重复性风险和新出现风险进行研判，制定纠正预防措施，持续健全质量管理体系。企业负责人应当定期听取质量负责人质量管理工作汇报，充分听取质量负责人关于药品质量风险防控的意见和建议，对实施质量风险防控提供必要的条件和资源。</w:t>
      </w:r>
    </w:p>
    <w:p>
      <w:pPr>
        <w:pStyle w:val="6"/>
        <w:shd w:val="clear" w:color="auto" w:fill="FFFFFF"/>
        <w:overflowPunct w:val="0"/>
        <w:adjustRightInd w:val="0"/>
        <w:snapToGrid w:val="0"/>
        <w:spacing w:line="560" w:lineRule="exact"/>
        <w:ind w:firstLine="640" w:firstLineChars="200"/>
        <w:jc w:val="both"/>
        <w:rPr>
          <w:rFonts w:hint="default" w:ascii="Times New Roman" w:hAnsi="Times New Roman" w:eastAsia="黑体"/>
          <w:bCs/>
          <w:color w:val="000000"/>
          <w:sz w:val="32"/>
          <w:szCs w:val="32"/>
        </w:rPr>
      </w:pPr>
      <w:r>
        <w:rPr>
          <w:rFonts w:ascii="Times New Roman" w:hAnsi="Times New Roman" w:eastAsia="黑体"/>
          <w:color w:val="000000"/>
          <w:sz w:val="32"/>
          <w:szCs w:val="32"/>
        </w:rPr>
        <w:t>第二十七条</w:t>
      </w:r>
      <w:r>
        <w:rPr>
          <w:rFonts w:ascii="Times New Roman" w:hAnsi="Times New Roman" w:eastAsia="黑体"/>
          <w:color w:val="000000"/>
          <w:sz w:val="32"/>
          <w:szCs w:val="32"/>
          <w:lang w:val="en"/>
        </w:rPr>
        <w:t xml:space="preserve">  </w:t>
      </w:r>
      <w:r>
        <w:rPr>
          <w:rFonts w:ascii="Times New Roman" w:hAnsi="Times New Roman" w:eastAsia="仿宋_GB2312"/>
          <w:color w:val="000000"/>
          <w:sz w:val="32"/>
          <w:szCs w:val="32"/>
        </w:rPr>
        <w:t>持有人应当建立年度报告制度。企业负责人应当</w:t>
      </w:r>
      <w:r>
        <w:rPr>
          <w:rFonts w:ascii="Times New Roman" w:hAnsi="Times New Roman" w:eastAsia="仿宋_GB2312"/>
          <w:bCs/>
          <w:color w:val="000000"/>
          <w:sz w:val="32"/>
          <w:szCs w:val="32"/>
        </w:rPr>
        <w:t>指定专门机</w:t>
      </w:r>
      <w:r>
        <w:rPr>
          <w:rFonts w:hint="default" w:ascii="Times New Roman" w:hAnsi="Times New Roman" w:eastAsia="仿宋_GB2312"/>
          <w:color w:val="000000"/>
          <w:sz w:val="32"/>
          <w:szCs w:val="32"/>
          <w:shd w:val="clear" w:color="auto" w:fill="FFFFFF"/>
        </w:rPr>
        <w:t>构或者人员负责年度报告工作，确保药品年度报告的信息真实、准确、完整和可追溯，符合法律、法规及有关规定要求。报告撰写人员应当汇总上一个自然年度药品的生产销售、上市后研究、风险管理等情况，按照国家药品监督管理局制定的年度报告模版形成年度报告，经企业法定代表人或者企业负责人（或者其书面授权人）批准后向所在地省级药品监督管理部</w:t>
      </w:r>
      <w:r>
        <w:rPr>
          <w:rFonts w:ascii="Times New Roman" w:hAnsi="Times New Roman" w:eastAsia="仿宋_GB2312"/>
          <w:bCs/>
          <w:sz w:val="32"/>
          <w:szCs w:val="32"/>
        </w:rPr>
        <w:t>门报告。</w:t>
      </w:r>
    </w:p>
    <w:p>
      <w:pPr>
        <w:pStyle w:val="7"/>
        <w:spacing w:before="0" w:beforeAutospacing="0" w:after="0" w:afterAutospacing="0"/>
        <w:ind w:firstLine="640" w:firstLineChars="200"/>
        <w:rPr>
          <w:rFonts w:eastAsia="仿宋_GB2312"/>
          <w:bCs/>
          <w:color w:val="000000"/>
          <w:kern w:val="2"/>
          <w:sz w:val="32"/>
          <w:szCs w:val="32"/>
        </w:rPr>
      </w:pPr>
      <w:r>
        <w:rPr>
          <w:rFonts w:eastAsia="黑体"/>
          <w:bCs/>
          <w:color w:val="000000"/>
          <w:sz w:val="32"/>
          <w:szCs w:val="32"/>
        </w:rPr>
        <w:t>第二十</w:t>
      </w:r>
      <w:r>
        <w:rPr>
          <w:rFonts w:hint="eastAsia" w:eastAsia="黑体"/>
          <w:bCs/>
          <w:color w:val="000000"/>
          <w:sz w:val="32"/>
          <w:szCs w:val="32"/>
        </w:rPr>
        <w:t>八</w:t>
      </w:r>
      <w:r>
        <w:rPr>
          <w:rFonts w:eastAsia="黑体"/>
          <w:bCs/>
          <w:color w:val="000000"/>
          <w:sz w:val="32"/>
          <w:szCs w:val="32"/>
        </w:rPr>
        <w:t>条</w:t>
      </w:r>
      <w:r>
        <w:rPr>
          <w:rFonts w:eastAsia="黑体"/>
          <w:bCs/>
          <w:color w:val="000000"/>
          <w:sz w:val="32"/>
          <w:szCs w:val="32"/>
          <w:lang w:val="en"/>
        </w:rPr>
        <w:t xml:space="preserve">  </w:t>
      </w:r>
      <w:r>
        <w:rPr>
          <w:rFonts w:eastAsia="仿宋_GB2312"/>
          <w:bCs/>
          <w:color w:val="000000"/>
          <w:kern w:val="2"/>
          <w:sz w:val="32"/>
          <w:szCs w:val="32"/>
        </w:rPr>
        <w:t>持有人应当</w:t>
      </w:r>
      <w:r>
        <w:rPr>
          <w:rFonts w:hint="eastAsia" w:eastAsia="仿宋_GB2312"/>
          <w:bCs/>
          <w:color w:val="000000"/>
          <w:kern w:val="2"/>
          <w:sz w:val="32"/>
          <w:szCs w:val="32"/>
        </w:rPr>
        <w:t>定期</w:t>
      </w:r>
      <w:r>
        <w:rPr>
          <w:rFonts w:eastAsia="仿宋_GB2312"/>
          <w:bCs/>
          <w:color w:val="000000"/>
          <w:kern w:val="2"/>
          <w:sz w:val="32"/>
          <w:szCs w:val="32"/>
        </w:rPr>
        <w:t>进行自检</w:t>
      </w:r>
      <w:r>
        <w:rPr>
          <w:rFonts w:hint="eastAsia" w:eastAsia="仿宋_GB2312"/>
          <w:bCs/>
          <w:color w:val="000000"/>
          <w:kern w:val="2"/>
          <w:sz w:val="32"/>
          <w:szCs w:val="32"/>
        </w:rPr>
        <w:t>或者内审</w:t>
      </w:r>
      <w:r>
        <w:rPr>
          <w:rFonts w:eastAsia="仿宋_GB2312"/>
          <w:bCs/>
          <w:color w:val="000000"/>
          <w:kern w:val="2"/>
          <w:sz w:val="32"/>
          <w:szCs w:val="32"/>
        </w:rPr>
        <w:t>，监控药品生产质量管理规范、药品经营质量管理规范、药物警戒质量管理规范等实施情况。自检</w:t>
      </w:r>
      <w:r>
        <w:rPr>
          <w:rFonts w:hint="eastAsia" w:eastAsia="仿宋_GB2312"/>
          <w:bCs/>
          <w:color w:val="000000"/>
          <w:kern w:val="2"/>
          <w:sz w:val="32"/>
          <w:szCs w:val="32"/>
        </w:rPr>
        <w:t>或者内审</w:t>
      </w:r>
      <w:r>
        <w:rPr>
          <w:rFonts w:eastAsia="仿宋_GB2312"/>
          <w:bCs/>
          <w:color w:val="000000"/>
          <w:kern w:val="2"/>
          <w:sz w:val="32"/>
          <w:szCs w:val="32"/>
        </w:rPr>
        <w:t>应当有方案、有记录，自检完成后应当形成自检报告，内容至少包括自检的基本情况、评价的结论以及纠正和预防措施的建议。</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eastAsia="仿宋_GB2312"/>
          <w:bCs/>
          <w:color w:val="000000"/>
          <w:sz w:val="32"/>
          <w:szCs w:val="32"/>
        </w:rPr>
      </w:pPr>
      <w:r>
        <w:rPr>
          <w:rFonts w:hint="eastAsia" w:eastAsia="黑体"/>
          <w:bCs/>
          <w:color w:val="000000"/>
          <w:sz w:val="32"/>
          <w:szCs w:val="32"/>
        </w:rPr>
        <w:t>第二十九</w:t>
      </w:r>
      <w:r>
        <w:rPr>
          <w:rFonts w:eastAsia="黑体"/>
          <w:bCs/>
          <w:color w:val="000000"/>
          <w:sz w:val="32"/>
          <w:szCs w:val="32"/>
        </w:rPr>
        <w:t>条</w:t>
      </w:r>
      <w:r>
        <w:rPr>
          <w:rFonts w:eastAsia="黑体"/>
          <w:bCs/>
          <w:color w:val="000000"/>
          <w:sz w:val="32"/>
          <w:szCs w:val="32"/>
          <w:lang w:val="en"/>
        </w:rPr>
        <w:t xml:space="preserve"> </w:t>
      </w:r>
      <w:r>
        <w:rPr>
          <w:rFonts w:eastAsia="黑体"/>
          <w:b/>
          <w:color w:val="000000"/>
          <w:sz w:val="32"/>
          <w:szCs w:val="32"/>
          <w:lang w:val="en"/>
        </w:rPr>
        <w:t xml:space="preserve"> </w:t>
      </w:r>
      <w:r>
        <w:rPr>
          <w:rFonts w:eastAsia="仿宋_GB2312"/>
          <w:bCs/>
          <w:color w:val="000000"/>
          <w:sz w:val="32"/>
          <w:szCs w:val="32"/>
        </w:rPr>
        <w:t>持有人应当建立培训管理制度，制定培训方案或</w:t>
      </w:r>
      <w:r>
        <w:rPr>
          <w:rFonts w:hint="eastAsia" w:eastAsia="仿宋_GB2312"/>
          <w:bCs/>
          <w:color w:val="000000"/>
          <w:sz w:val="32"/>
          <w:szCs w:val="32"/>
        </w:rPr>
        <w:t>者</w:t>
      </w:r>
      <w:r>
        <w:rPr>
          <w:rFonts w:eastAsia="仿宋_GB2312"/>
          <w:bCs/>
          <w:color w:val="000000"/>
          <w:sz w:val="32"/>
          <w:szCs w:val="32"/>
        </w:rPr>
        <w:t>计划，对从事</w:t>
      </w:r>
      <w:r>
        <w:rPr>
          <w:rFonts w:hint="eastAsia" w:eastAsia="仿宋_GB2312"/>
          <w:bCs/>
          <w:color w:val="000000"/>
          <w:sz w:val="32"/>
          <w:szCs w:val="32"/>
        </w:rPr>
        <w:t>药品研发管理、生产管理、质量管理、销售管理、药物警戒、上市后研究</w:t>
      </w:r>
      <w:r>
        <w:rPr>
          <w:rFonts w:eastAsia="仿宋_GB2312"/>
          <w:bCs/>
          <w:color w:val="000000"/>
          <w:sz w:val="32"/>
          <w:szCs w:val="32"/>
        </w:rPr>
        <w:t>的所有人员开展上岗前培训和继续培训。培训内容至少包括相关法规、相应岗位职责和技能等。持有人应当保存培训记录，并定期评估培训效果。</w:t>
      </w:r>
    </w:p>
    <w:p>
      <w:pPr>
        <w:widowControl/>
        <w:spacing w:line="560" w:lineRule="exact"/>
        <w:jc w:val="center"/>
        <w:rPr>
          <w:rFonts w:eastAsia="方正小标宋_GBK"/>
          <w:sz w:val="32"/>
          <w:szCs w:val="32"/>
        </w:rPr>
      </w:pPr>
    </w:p>
    <w:p>
      <w:pPr>
        <w:widowControl/>
        <w:spacing w:line="560" w:lineRule="exact"/>
        <w:jc w:val="center"/>
        <w:rPr>
          <w:rFonts w:eastAsia="方正小标宋_GBK"/>
          <w:sz w:val="32"/>
          <w:szCs w:val="32"/>
        </w:rPr>
      </w:pPr>
      <w:r>
        <w:rPr>
          <w:rFonts w:hint="eastAsia" w:eastAsia="方正小标宋_GBK"/>
          <w:sz w:val="32"/>
          <w:szCs w:val="32"/>
          <w:lang w:val="en"/>
        </w:rPr>
        <w:t>第五章</w:t>
      </w:r>
      <w:r>
        <w:rPr>
          <w:rFonts w:eastAsia="方正小标宋_GBK"/>
          <w:sz w:val="32"/>
          <w:szCs w:val="32"/>
          <w:lang w:val="en"/>
        </w:rPr>
        <w:t xml:space="preserve"> </w:t>
      </w:r>
      <w:r>
        <w:rPr>
          <w:rFonts w:hint="eastAsia" w:eastAsia="方正小标宋_GBK"/>
          <w:sz w:val="32"/>
          <w:szCs w:val="32"/>
        </w:rPr>
        <w:t>监督管理</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bCs/>
          <w:color w:val="000000"/>
          <w:sz w:val="32"/>
          <w:szCs w:val="32"/>
        </w:rPr>
        <w:t xml:space="preserve">  省级药品监督管理部门应当依法依职责加强对本行政区域内持有人的监督检查，将持有人落实药品质量安全主体责任情况作为监督检查内容，重点检查关键人员和质量管理相关人员履职尽责、质量管理体系运行等情况。</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省级药品监督管理部门应当根据药品监管的实际需要，制定药品质量抽查检验计划，明确抽查检验目标和重点；可以组织对原料药、相关辅料、直接接触药品的包装材料和容器质量进行抽查检验。</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bCs/>
          <w:color w:val="000000"/>
          <w:sz w:val="32"/>
          <w:szCs w:val="32"/>
        </w:rPr>
        <w:t xml:space="preserve">  持有人应当配合药品监督管理部门的监督检查和抽查检验，并配合对相关方的延伸检查，不得拒绝、逃避监督检查，不得干扰、阻扰或拒绝抽查检验，不得伪造、销毁、隐匿有关证据材料，不得擅自动用查封、扣押物品。</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监督检查或者抽查检验发现不符合规定的，药品监督管理部门应当采取暂停生产、销售、使用、进口等措施控制风险；涉嫌违法犯罪的，应当及时依法查处或者移送司法机关。</w:t>
      </w:r>
    </w:p>
    <w:p>
      <w:pPr>
        <w:pStyle w:val="7"/>
        <w:shd w:val="clear" w:color="auto" w:fill="FFFFFF"/>
        <w:overflowPunct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Cs/>
          <w:color w:val="000000"/>
          <w:sz w:val="32"/>
          <w:szCs w:val="32"/>
        </w:rPr>
        <w:t xml:space="preserve"> 省级药品监督管理部门应当依法对本行政区域内持有人（药品生产企业）建立药品安全信用档案，并按规定对相关信息进行公示公开，加强信用档案数据分析利用，定期开展风险研判。</w:t>
      </w:r>
    </w:p>
    <w:p>
      <w:pPr>
        <w:widowControl/>
        <w:spacing w:line="560" w:lineRule="exact"/>
        <w:jc w:val="center"/>
        <w:rPr>
          <w:rFonts w:eastAsia="方正小标宋_GBK"/>
          <w:sz w:val="32"/>
          <w:szCs w:val="32"/>
          <w:lang w:val="en"/>
        </w:rPr>
      </w:pPr>
    </w:p>
    <w:p>
      <w:pPr>
        <w:widowControl/>
        <w:spacing w:line="560" w:lineRule="exact"/>
        <w:jc w:val="center"/>
        <w:rPr>
          <w:rFonts w:eastAsia="方正小标宋_GBK"/>
          <w:sz w:val="32"/>
          <w:szCs w:val="32"/>
        </w:rPr>
      </w:pPr>
      <w:r>
        <w:rPr>
          <w:rFonts w:hint="eastAsia" w:eastAsia="方正小标宋_GBK"/>
          <w:sz w:val="32"/>
          <w:szCs w:val="32"/>
          <w:lang w:val="en"/>
        </w:rPr>
        <w:t>第六章</w:t>
      </w:r>
      <w:r>
        <w:rPr>
          <w:rFonts w:eastAsia="方正小标宋_GBK"/>
          <w:sz w:val="32"/>
          <w:szCs w:val="32"/>
          <w:lang w:val="en"/>
        </w:rPr>
        <w:t xml:space="preserve"> </w:t>
      </w:r>
      <w:r>
        <w:rPr>
          <w:rFonts w:hint="eastAsia" w:eastAsia="方正小标宋_GBK"/>
          <w:sz w:val="32"/>
          <w:szCs w:val="32"/>
        </w:rPr>
        <w:t>附 则</w:t>
      </w:r>
    </w:p>
    <w:p>
      <w:pPr>
        <w:overflowPunct w:val="0"/>
        <w:adjustRightInd w:val="0"/>
        <w:snapToGrid w:val="0"/>
        <w:spacing w:line="560" w:lineRule="exact"/>
        <w:ind w:firstLine="640" w:firstLineChars="200"/>
        <w:rPr>
          <w:rFonts w:eastAsia="仿宋_GB2312"/>
          <w:color w:val="000000"/>
          <w:sz w:val="32"/>
          <w:szCs w:val="32"/>
        </w:rPr>
      </w:pPr>
      <w:r>
        <w:rPr>
          <w:rStyle w:val="15"/>
          <w:rFonts w:hint="default" w:ascii="Times New Roman" w:hAnsi="Times New Roman" w:eastAsia="黑体"/>
        </w:rPr>
        <w:t>第三十四条</w:t>
      </w:r>
      <w:r>
        <w:rPr>
          <w:rFonts w:eastAsia="黑体"/>
          <w:bCs/>
          <w:color w:val="000000"/>
          <w:sz w:val="32"/>
          <w:szCs w:val="32"/>
          <w:lang w:val="en"/>
        </w:rPr>
        <w:t xml:space="preserve">  </w:t>
      </w:r>
      <w:r>
        <w:rPr>
          <w:rFonts w:eastAsia="仿宋_GB2312"/>
          <w:color w:val="000000"/>
          <w:sz w:val="32"/>
          <w:szCs w:val="32"/>
        </w:rPr>
        <w:t>麻醉药品、精神药品、医疗用毒性药品、药品类易制毒化学品、放射性药品、疫苗及其他生物制品</w:t>
      </w:r>
      <w:r>
        <w:rPr>
          <w:rFonts w:hint="eastAsia" w:eastAsia="仿宋_GB2312"/>
          <w:color w:val="000000"/>
          <w:sz w:val="32"/>
          <w:szCs w:val="32"/>
        </w:rPr>
        <w:t>、中药饮片、中药配方颗粒</w:t>
      </w:r>
      <w:r>
        <w:rPr>
          <w:rFonts w:eastAsia="仿宋_GB2312"/>
          <w:color w:val="000000"/>
          <w:sz w:val="32"/>
          <w:szCs w:val="32"/>
        </w:rPr>
        <w:t>等有专门规定的，从其规定。</w:t>
      </w:r>
    </w:p>
    <w:p>
      <w:pPr>
        <w:overflowPunct w:val="0"/>
        <w:adjustRightInd w:val="0"/>
        <w:snapToGrid w:val="0"/>
        <w:spacing w:line="560" w:lineRule="exact"/>
        <w:ind w:firstLine="640" w:firstLineChars="200"/>
        <w:rPr>
          <w:rFonts w:ascii="仿宋_GB2312" w:hAnsi="华文仿宋" w:eastAsia="仿宋_GB2312"/>
          <w:szCs w:val="21"/>
        </w:rPr>
      </w:pPr>
      <w:r>
        <w:rPr>
          <w:rStyle w:val="15"/>
          <w:rFonts w:hint="default" w:ascii="Times New Roman" w:hAnsi="Times New Roman" w:eastAsia="黑体"/>
          <w:bCs/>
        </w:rPr>
        <w:t>第三十五条</w:t>
      </w:r>
      <w:r>
        <w:rPr>
          <w:rFonts w:eastAsia="黑体"/>
          <w:bCs/>
          <w:color w:val="000000"/>
          <w:sz w:val="32"/>
          <w:szCs w:val="32"/>
          <w:lang w:val="en"/>
        </w:rPr>
        <w:t xml:space="preserve">  </w:t>
      </w:r>
      <w:r>
        <w:rPr>
          <w:rFonts w:eastAsia="仿宋_GB2312"/>
          <w:color w:val="000000"/>
          <w:sz w:val="32"/>
          <w:szCs w:val="32"/>
        </w:rPr>
        <w:t>本规定</w:t>
      </w:r>
      <w:r>
        <w:rPr>
          <w:rFonts w:eastAsia="仿宋_GB2312"/>
          <w:color w:val="000000"/>
          <w:sz w:val="32"/>
          <w:szCs w:val="32"/>
          <w:shd w:val="clear" w:color="auto" w:fill="FFFFFF"/>
        </w:rPr>
        <w:t>自202</w:t>
      </w:r>
      <w:r>
        <w:rPr>
          <w:rFonts w:hint="eastAsia" w:eastAsia="仿宋_GB2312"/>
          <w:color w:val="000000"/>
          <w:sz w:val="32"/>
          <w:szCs w:val="32"/>
          <w:shd w:val="clear" w:color="auto" w:fill="FFFFFF"/>
        </w:rPr>
        <w:t>3</w:t>
      </w:r>
      <w:r>
        <w:rPr>
          <w:rFonts w:eastAsia="仿宋_GB2312"/>
          <w:color w:val="000000"/>
          <w:sz w:val="32"/>
          <w:szCs w:val="32"/>
          <w:shd w:val="clear" w:color="auto" w:fill="FFFFFF"/>
        </w:rPr>
        <w:t>年</w:t>
      </w:r>
      <w:r>
        <w:rPr>
          <w:rFonts w:hint="eastAsia" w:eastAsia="仿宋_GB2312"/>
          <w:color w:val="000000"/>
          <w:sz w:val="32"/>
          <w:szCs w:val="32"/>
          <w:shd w:val="clear" w:color="auto" w:fill="FFFFFF"/>
        </w:rPr>
        <w:t>3</w:t>
      </w:r>
      <w:r>
        <w:rPr>
          <w:rFonts w:eastAsia="仿宋_GB2312"/>
          <w:color w:val="000000"/>
          <w:sz w:val="32"/>
          <w:szCs w:val="32"/>
          <w:shd w:val="clear" w:color="auto" w:fill="FFFFFF"/>
        </w:rPr>
        <w:t>月</w:t>
      </w:r>
      <w:r>
        <w:rPr>
          <w:rFonts w:hint="eastAsia" w:eastAsia="仿宋_GB2312"/>
          <w:color w:val="000000"/>
          <w:sz w:val="32"/>
          <w:szCs w:val="32"/>
          <w:shd w:val="clear" w:color="auto" w:fill="FFFFFF"/>
        </w:rPr>
        <w:t>1</w:t>
      </w:r>
      <w:r>
        <w:rPr>
          <w:rFonts w:eastAsia="仿宋_GB2312"/>
          <w:color w:val="000000"/>
          <w:sz w:val="32"/>
          <w:szCs w:val="32"/>
        </w:rPr>
        <w:t>日起施行。</w:t>
      </w:r>
    </w:p>
    <w:sectPr>
      <w:footerReference r:id="rId3" w:type="default"/>
      <w:footerReference r:id="rId4" w:type="even"/>
      <w:pgSz w:w="11906" w:h="16838"/>
      <w:pgMar w:top="1928" w:right="1531" w:bottom="1701" w:left="1531"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rFonts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sz w:val="28"/>
        <w:szCs w:val="28"/>
      </w:rPr>
    </w:pPr>
    <w:r>
      <w:rPr>
        <w:rStyle w:val="11"/>
        <w:rFonts w:hint="eastAsia"/>
        <w:color w:val="FFFFFF"/>
        <w:sz w:val="28"/>
        <w:szCs w:val="28"/>
      </w:rPr>
      <w:t>—</w:t>
    </w: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w:t>
    </w:r>
    <w:r>
      <w:rPr>
        <w:sz w:val="28"/>
        <w:szCs w:val="28"/>
      </w:rPr>
      <w:fldChar w:fldCharType="end"/>
    </w:r>
    <w:r>
      <w:rPr>
        <w:rStyle w:val="11"/>
        <w:rFonts w:hint="eastAsia"/>
        <w:sz w:val="28"/>
        <w:szCs w:val="28"/>
      </w:rPr>
      <w:t xml:space="preserve"> — </w: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2FFD"/>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C0B98"/>
    <w:rsid w:val="006D3D5E"/>
    <w:rsid w:val="006E0E17"/>
    <w:rsid w:val="00727597"/>
    <w:rsid w:val="00735046"/>
    <w:rsid w:val="00757A8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8462A"/>
    <w:rsid w:val="00DD4D3D"/>
    <w:rsid w:val="00DD5C43"/>
    <w:rsid w:val="00DF1936"/>
    <w:rsid w:val="00E05A99"/>
    <w:rsid w:val="00E21EF7"/>
    <w:rsid w:val="00E41212"/>
    <w:rsid w:val="00E41A1A"/>
    <w:rsid w:val="00E73776"/>
    <w:rsid w:val="00EB49A4"/>
    <w:rsid w:val="00ED2031"/>
    <w:rsid w:val="00F64776"/>
    <w:rsid w:val="00F6624B"/>
    <w:rsid w:val="00F8685B"/>
    <w:rsid w:val="00FA60C8"/>
    <w:rsid w:val="00FD22E5"/>
    <w:rsid w:val="00FD443E"/>
    <w:rsid w:val="00FD754D"/>
    <w:rsid w:val="0BEC7EA0"/>
    <w:rsid w:val="0F9E0E77"/>
    <w:rsid w:val="0FAF2A21"/>
    <w:rsid w:val="1BDEC3DB"/>
    <w:rsid w:val="1E7D8A73"/>
    <w:rsid w:val="1F3E07CB"/>
    <w:rsid w:val="23FB528B"/>
    <w:rsid w:val="27BF1F6F"/>
    <w:rsid w:val="2A8D465A"/>
    <w:rsid w:val="2BEE4102"/>
    <w:rsid w:val="2F3E0875"/>
    <w:rsid w:val="377B32B3"/>
    <w:rsid w:val="3BBF2C58"/>
    <w:rsid w:val="3D47742D"/>
    <w:rsid w:val="43E2636A"/>
    <w:rsid w:val="4C1A048F"/>
    <w:rsid w:val="4E7FB83A"/>
    <w:rsid w:val="55FFD133"/>
    <w:rsid w:val="577706BF"/>
    <w:rsid w:val="5777FCE8"/>
    <w:rsid w:val="591D3208"/>
    <w:rsid w:val="5BF350B7"/>
    <w:rsid w:val="5DFB3A4A"/>
    <w:rsid w:val="5E3F8D9B"/>
    <w:rsid w:val="5F1F5907"/>
    <w:rsid w:val="5F297A5F"/>
    <w:rsid w:val="5FFCF46F"/>
    <w:rsid w:val="63E446CD"/>
    <w:rsid w:val="69065E6A"/>
    <w:rsid w:val="6AEB2CDC"/>
    <w:rsid w:val="6BA3A01D"/>
    <w:rsid w:val="6BEA902F"/>
    <w:rsid w:val="6D0922CC"/>
    <w:rsid w:val="6EFF539C"/>
    <w:rsid w:val="6FFE75EB"/>
    <w:rsid w:val="70161F4F"/>
    <w:rsid w:val="767D93E6"/>
    <w:rsid w:val="76F2D395"/>
    <w:rsid w:val="77890987"/>
    <w:rsid w:val="7E723D06"/>
    <w:rsid w:val="7E768284"/>
    <w:rsid w:val="7ED62E8A"/>
    <w:rsid w:val="7F2D5913"/>
    <w:rsid w:val="7F66246C"/>
    <w:rsid w:val="7F7BC6A0"/>
    <w:rsid w:val="7FABAFF5"/>
    <w:rsid w:val="7FBDA6FA"/>
    <w:rsid w:val="7FBF583E"/>
    <w:rsid w:val="7FFF705A"/>
    <w:rsid w:val="8CFF2476"/>
    <w:rsid w:val="9FBF1972"/>
    <w:rsid w:val="AFFE8A47"/>
    <w:rsid w:val="B7F82B4D"/>
    <w:rsid w:val="BCEFB024"/>
    <w:rsid w:val="BFEDB463"/>
    <w:rsid w:val="CFED388B"/>
    <w:rsid w:val="DDD5E829"/>
    <w:rsid w:val="DDF30E10"/>
    <w:rsid w:val="DEF7B23A"/>
    <w:rsid w:val="DF4E405B"/>
    <w:rsid w:val="DFFF0544"/>
    <w:rsid w:val="E9ECB7E0"/>
    <w:rsid w:val="EDF56C24"/>
    <w:rsid w:val="EEFCDB8D"/>
    <w:rsid w:val="EFEB35C4"/>
    <w:rsid w:val="F3FF1426"/>
    <w:rsid w:val="F5AD5649"/>
    <w:rsid w:val="F5D55B69"/>
    <w:rsid w:val="F63EFF8B"/>
    <w:rsid w:val="F72E8261"/>
    <w:rsid w:val="F7EFAEB5"/>
    <w:rsid w:val="F97E7AD7"/>
    <w:rsid w:val="FC7C8EA8"/>
    <w:rsid w:val="FE6BD397"/>
    <w:rsid w:val="FEF37886"/>
    <w:rsid w:val="FEFBA7FC"/>
    <w:rsid w:val="FEFBE7F6"/>
    <w:rsid w:val="FEFD1947"/>
    <w:rsid w:val="FEFFEE2C"/>
    <w:rsid w:val="FF5F610B"/>
    <w:rsid w:val="FFA01D56"/>
    <w:rsid w:val="FFDFF7D8"/>
    <w:rsid w:val="FFE7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rPr>
  </w:style>
  <w:style w:type="character" w:styleId="11">
    <w:name w:val="page number"/>
    <w:basedOn w:val="9"/>
    <w:qFormat/>
    <w:uiPriority w:val="0"/>
  </w:style>
  <w:style w:type="paragraph" w:customStyle="1" w:styleId="12">
    <w:name w:val="列出段落1"/>
    <w:basedOn w:val="1"/>
    <w:qFormat/>
    <w:uiPriority w:val="34"/>
    <w:pPr>
      <w:ind w:firstLine="420" w:firstLineChars="200"/>
    </w:pPr>
  </w:style>
  <w:style w:type="character" w:customStyle="1" w:styleId="13">
    <w:name w:val="页脚 Char"/>
    <w:link w:val="4"/>
    <w:qFormat/>
    <w:uiPriority w:val="99"/>
    <w:rPr>
      <w:kern w:val="2"/>
      <w:sz w:val="18"/>
      <w:szCs w:val="18"/>
    </w:rPr>
  </w:style>
  <w:style w:type="character" w:customStyle="1" w:styleId="14">
    <w:name w:val="页眉 Char"/>
    <w:link w:val="5"/>
    <w:qFormat/>
    <w:uiPriority w:val="99"/>
    <w:rPr>
      <w:kern w:val="2"/>
      <w:sz w:val="18"/>
      <w:szCs w:val="18"/>
    </w:rPr>
  </w:style>
  <w:style w:type="character" w:customStyle="1" w:styleId="15">
    <w:name w:val="fontstyle31"/>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11</Pages>
  <Words>5482</Words>
  <Characters>5485</Characters>
  <Lines>41</Lines>
  <Paragraphs>11</Paragraphs>
  <TotalTime>0</TotalTime>
  <ScaleCrop>false</ScaleCrop>
  <LinksUpToDate>false</LinksUpToDate>
  <CharactersWithSpaces>5566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2022-12-29T11:52:00Z</dcterms:created>
  <dc:creator>Xtzj.User</dc:creator>
  <cp:lastModifiedBy>尢</cp:lastModifiedBy>
  <cp:lastPrinted>2022-12-30T10:23:00Z</cp:lastPrinted>
  <dcterms:modified xsi:type="dcterms:W3CDTF">2023-01-02T07:53:41Z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ECDCAA07508949E28E5EB64018AF7E28</vt:lpwstr>
  </property>
</Properties>
</file>